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803E9" w14:textId="77777777" w:rsidR="002F4229" w:rsidRPr="00EB2373" w:rsidRDefault="002F4229" w:rsidP="002F4229">
      <w:pPr>
        <w:jc w:val="center"/>
        <w:rPr>
          <w:rFonts w:cstheme="minorHAnsi"/>
          <w:b/>
          <w:bCs/>
          <w:color w:val="323232"/>
          <w:sz w:val="28"/>
          <w:szCs w:val="28"/>
          <w:u w:val="single"/>
          <w:shd w:val="clear" w:color="auto" w:fill="FFFFFF"/>
        </w:rPr>
      </w:pPr>
      <w:r w:rsidRPr="00D9096B">
        <w:rPr>
          <w:rFonts w:cstheme="minorHAnsi"/>
          <w:b/>
          <w:sz w:val="28"/>
          <w:szCs w:val="28"/>
          <w:u w:val="single"/>
        </w:rPr>
        <w:t xml:space="preserve">Technická specifikace </w:t>
      </w:r>
      <w:r>
        <w:rPr>
          <w:rFonts w:cstheme="minorHAnsi"/>
          <w:b/>
          <w:sz w:val="28"/>
          <w:szCs w:val="28"/>
          <w:u w:val="single"/>
        </w:rPr>
        <w:t xml:space="preserve">služeb </w:t>
      </w:r>
      <w:bookmarkStart w:id="0" w:name="_Hlk23442718"/>
      <w:r>
        <w:rPr>
          <w:rFonts w:cstheme="minorHAnsi"/>
          <w:b/>
          <w:sz w:val="28"/>
          <w:szCs w:val="28"/>
          <w:u w:val="single"/>
        </w:rPr>
        <w:t>Wi-Fi 50 Mb/s + TV Standard, Wi-Fi 50 Mb/s + TV Start a Wi-Fi 50 Mb/s + TV Smart</w:t>
      </w:r>
      <w:bookmarkEnd w:id="0"/>
    </w:p>
    <w:p w14:paraId="2E3AC2D5" w14:textId="77777777" w:rsidR="002F4229" w:rsidRPr="00CA5D3D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  <w:r w:rsidRPr="00CA5D3D">
        <w:rPr>
          <w:rFonts w:ascii="Calibri" w:hAnsi="Calibri" w:cstheme="minorHAnsi"/>
          <w:sz w:val="20"/>
          <w:szCs w:val="20"/>
        </w:rPr>
        <w:t xml:space="preserve">Tato Technická specifikace služeb platí pro poskytování veřejně dostupných služeb elektronických komunikací na základě Smlouvy o poskytování veřejně dostupných služeb elektronických komunikací uzavřené mezi EDERA Group a.s., se sídlem Arnošta z Pardubic 2789, </w:t>
      </w:r>
      <w:proofErr w:type="gramStart"/>
      <w:r w:rsidRPr="00CA5D3D">
        <w:rPr>
          <w:rFonts w:ascii="Calibri" w:hAnsi="Calibri" w:cstheme="minorHAnsi"/>
          <w:sz w:val="20"/>
          <w:szCs w:val="20"/>
        </w:rPr>
        <w:t>Zelené</w:t>
      </w:r>
      <w:proofErr w:type="gramEnd"/>
      <w:r>
        <w:rPr>
          <w:rFonts w:ascii="Calibri" w:hAnsi="Calibri" w:cstheme="minorHAnsi"/>
          <w:sz w:val="20"/>
          <w:szCs w:val="20"/>
        </w:rPr>
        <w:t xml:space="preserve"> </w:t>
      </w:r>
      <w:r w:rsidRPr="00CA5D3D">
        <w:rPr>
          <w:rFonts w:ascii="Calibri" w:hAnsi="Calibri" w:cstheme="minorHAnsi"/>
          <w:sz w:val="20"/>
          <w:szCs w:val="20"/>
        </w:rPr>
        <w:t>Předměstí, 530 02 Pardubice, IČO 27461254 (dále jen „poskytovatel“) jako poskytovatelem a druhou osobou jako uživatelem (dále jen „Smlouva“). Technická specifikace služeb je nedílnou součástí Smlouvy.</w:t>
      </w:r>
    </w:p>
    <w:p w14:paraId="1F514045" w14:textId="77777777" w:rsidR="002F4229" w:rsidRPr="00CA5D3D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</w:p>
    <w:p w14:paraId="0B1B5735" w14:textId="77777777" w:rsidR="002F4229" w:rsidRPr="00CA5D3D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  <w:r w:rsidRPr="00CA5D3D">
        <w:rPr>
          <w:rFonts w:ascii="Calibri" w:hAnsi="Calibri" w:cstheme="minorHAnsi"/>
          <w:sz w:val="20"/>
          <w:szCs w:val="20"/>
        </w:rPr>
        <w:t>V technické specifikaci služby je uveden popis služby přístupu k internetu dle nařízení EU č. 2015/2120 konkrétně čl. 4 odstavec 1 d).</w:t>
      </w:r>
    </w:p>
    <w:p w14:paraId="32ED5250" w14:textId="77777777" w:rsidR="002F4229" w:rsidRPr="00CA5D3D" w:rsidRDefault="002F4229" w:rsidP="002F4229">
      <w:pPr>
        <w:jc w:val="both"/>
        <w:rPr>
          <w:rFonts w:ascii="Calibri" w:hAnsi="Calibri" w:cstheme="minorHAnsi"/>
          <w:b/>
          <w:bCs/>
          <w:color w:val="323232"/>
          <w:sz w:val="20"/>
          <w:szCs w:val="20"/>
          <w:shd w:val="clear" w:color="auto" w:fill="FFFFFF"/>
        </w:rPr>
      </w:pPr>
    </w:p>
    <w:p w14:paraId="557B9A88" w14:textId="77777777" w:rsidR="002F4229" w:rsidRPr="00FC5717" w:rsidRDefault="002F4229" w:rsidP="002F4229">
      <w:pPr>
        <w:spacing w:after="120"/>
        <w:jc w:val="both"/>
        <w:rPr>
          <w:rFonts w:ascii="Calibri" w:hAnsi="Calibri" w:cstheme="minorHAnsi"/>
          <w:sz w:val="20"/>
          <w:szCs w:val="20"/>
        </w:rPr>
      </w:pPr>
      <w:r w:rsidRPr="00FC5717">
        <w:rPr>
          <w:rFonts w:ascii="Calibri" w:hAnsi="Calibri" w:cstheme="minorHAnsi"/>
          <w:sz w:val="20"/>
          <w:szCs w:val="20"/>
        </w:rPr>
        <w:t xml:space="preserve">Pro služby </w:t>
      </w:r>
      <w:r w:rsidRPr="00FC5717">
        <w:rPr>
          <w:rFonts w:ascii="Calibri" w:hAnsi="Calibri" w:cstheme="minorHAnsi"/>
          <w:b/>
          <w:sz w:val="20"/>
          <w:szCs w:val="20"/>
        </w:rPr>
        <w:t xml:space="preserve">Wi-Fi </w:t>
      </w:r>
      <w:r>
        <w:rPr>
          <w:rFonts w:ascii="Calibri" w:hAnsi="Calibri" w:cstheme="minorHAnsi"/>
          <w:b/>
          <w:sz w:val="20"/>
          <w:szCs w:val="20"/>
        </w:rPr>
        <w:t>5</w:t>
      </w:r>
      <w:r w:rsidRPr="00FC5717">
        <w:rPr>
          <w:rFonts w:ascii="Calibri" w:hAnsi="Calibri" w:cstheme="minorHAnsi"/>
          <w:b/>
          <w:sz w:val="20"/>
          <w:szCs w:val="20"/>
        </w:rPr>
        <w:t xml:space="preserve">0 Mb/s + TV Standard, Wi-Fi </w:t>
      </w:r>
      <w:r>
        <w:rPr>
          <w:rFonts w:ascii="Calibri" w:hAnsi="Calibri" w:cstheme="minorHAnsi"/>
          <w:b/>
          <w:sz w:val="20"/>
          <w:szCs w:val="20"/>
        </w:rPr>
        <w:t>5</w:t>
      </w:r>
      <w:r w:rsidRPr="00FC5717">
        <w:rPr>
          <w:rFonts w:ascii="Calibri" w:hAnsi="Calibri" w:cstheme="minorHAnsi"/>
          <w:b/>
          <w:sz w:val="20"/>
          <w:szCs w:val="20"/>
        </w:rPr>
        <w:t xml:space="preserve">0 Mb/s + TV Start a Wi-Fi </w:t>
      </w:r>
      <w:r>
        <w:rPr>
          <w:rFonts w:ascii="Calibri" w:hAnsi="Calibri" w:cstheme="minorHAnsi"/>
          <w:b/>
          <w:sz w:val="20"/>
          <w:szCs w:val="20"/>
        </w:rPr>
        <w:t>5</w:t>
      </w:r>
      <w:r w:rsidRPr="00FC5717">
        <w:rPr>
          <w:rFonts w:ascii="Calibri" w:hAnsi="Calibri" w:cstheme="minorHAnsi"/>
          <w:b/>
          <w:sz w:val="20"/>
          <w:szCs w:val="20"/>
        </w:rPr>
        <w:t xml:space="preserve">0 Mb/s + TV Smart </w:t>
      </w:r>
      <w:r w:rsidRPr="00FC5717">
        <w:rPr>
          <w:rFonts w:ascii="Calibri" w:hAnsi="Calibri" w:cstheme="minorHAnsi"/>
          <w:sz w:val="20"/>
          <w:szCs w:val="20"/>
        </w:rPr>
        <w:t xml:space="preserve">definujeme následující výklad rychlostí internetového připojení při současném provozu internetu a 1 koncového bodu služby digitálního televizního vysílání (tj. 1 Set top boxu, 1 Smart TV (chytrá TV s možností instalace aplikace </w:t>
      </w:r>
      <w:proofErr w:type="spellStart"/>
      <w:r w:rsidRPr="00FC5717">
        <w:rPr>
          <w:rFonts w:ascii="Calibri" w:hAnsi="Calibri" w:cstheme="minorHAnsi"/>
          <w:sz w:val="20"/>
          <w:szCs w:val="20"/>
        </w:rPr>
        <w:t>sledovaniTV</w:t>
      </w:r>
      <w:proofErr w:type="spellEnd"/>
      <w:r w:rsidRPr="00FC5717">
        <w:rPr>
          <w:rFonts w:ascii="Calibri" w:hAnsi="Calibri" w:cstheme="minorHAnsi"/>
          <w:sz w:val="20"/>
          <w:szCs w:val="20"/>
        </w:rPr>
        <w:t>) nebo 1 jiného Zařízení definovaného v čl. 9, odst. 9.1 Všeobecných podmínek pro poskytování služeb (dále jen VPS) provozovatele TV, kterým je společnost sledovanitv.cz) ve smyslu výše uvedeného nařízení: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2936"/>
        <w:gridCol w:w="4087"/>
        <w:gridCol w:w="3456"/>
      </w:tblGrid>
      <w:tr w:rsidR="002F4229" w:rsidRPr="00FC5717" w14:paraId="2CF830ED" w14:textId="77777777" w:rsidTr="00D067D3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3A96" w14:textId="77777777" w:rsidR="002F4229" w:rsidRPr="00FC5717" w:rsidRDefault="002F4229" w:rsidP="00D067D3">
            <w:pPr>
              <w:jc w:val="both"/>
              <w:rPr>
                <w:rFonts w:ascii="Calibri" w:hAnsi="Calibri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FC5717">
              <w:rPr>
                <w:rFonts w:ascii="Calibri" w:hAnsi="Calibri" w:cstheme="minorHAnsi"/>
                <w:b/>
                <w:bCs/>
                <w:sz w:val="20"/>
                <w:szCs w:val="20"/>
                <w:shd w:val="clear" w:color="auto" w:fill="FFFFFF"/>
              </w:rPr>
              <w:t>Rychlost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448A" w14:textId="77777777" w:rsidR="002F4229" w:rsidRPr="00FC5717" w:rsidRDefault="002F4229" w:rsidP="00D067D3">
            <w:pPr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FC5717">
              <w:rPr>
                <w:rFonts w:ascii="Calibri" w:hAnsi="Calibri" w:cstheme="minorHAnsi"/>
                <w:b/>
                <w:bCs/>
                <w:sz w:val="20"/>
                <w:szCs w:val="20"/>
                <w:shd w:val="clear" w:color="auto" w:fill="FFFFFF"/>
              </w:rPr>
              <w:t>Stahování (</w:t>
            </w:r>
            <w:proofErr w:type="spellStart"/>
            <w:r w:rsidRPr="00FC5717">
              <w:rPr>
                <w:rFonts w:ascii="Calibri" w:hAnsi="Calibri" w:cstheme="minorHAnsi"/>
                <w:b/>
                <w:bCs/>
                <w:sz w:val="20"/>
                <w:szCs w:val="20"/>
                <w:shd w:val="clear" w:color="auto" w:fill="FFFFFF"/>
              </w:rPr>
              <w:t>download</w:t>
            </w:r>
            <w:proofErr w:type="spellEnd"/>
            <w:r w:rsidRPr="00FC5717">
              <w:rPr>
                <w:rFonts w:ascii="Calibri" w:hAnsi="Calibri" w:cstheme="minorHAnsi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36E0" w14:textId="77777777" w:rsidR="002F4229" w:rsidRPr="00FC5717" w:rsidRDefault="002F4229" w:rsidP="00D067D3">
            <w:pPr>
              <w:jc w:val="center"/>
              <w:rPr>
                <w:rFonts w:ascii="Calibri" w:hAnsi="Calibri"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FC5717">
              <w:rPr>
                <w:rFonts w:ascii="Calibri" w:hAnsi="Calibri" w:cstheme="minorHAnsi"/>
                <w:b/>
                <w:bCs/>
                <w:sz w:val="20"/>
                <w:szCs w:val="20"/>
                <w:shd w:val="clear" w:color="auto" w:fill="FFFFFF"/>
              </w:rPr>
              <w:t>Odesílání (upload)</w:t>
            </w:r>
          </w:p>
        </w:tc>
      </w:tr>
      <w:tr w:rsidR="002F4229" w:rsidRPr="00FC5717" w14:paraId="4933275F" w14:textId="77777777" w:rsidTr="00D067D3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D02F" w14:textId="77777777" w:rsidR="002F4229" w:rsidRPr="00FC5717" w:rsidRDefault="002F4229" w:rsidP="00D067D3">
            <w:pPr>
              <w:jc w:val="both"/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</w:pPr>
            <w:r w:rsidRPr="00FC5717"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>Inzerovaná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7DFC" w14:textId="77777777" w:rsidR="002F4229" w:rsidRPr="00FC5717" w:rsidRDefault="002F4229" w:rsidP="00D067D3">
            <w:pPr>
              <w:jc w:val="center"/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>5</w:t>
            </w:r>
            <w:r w:rsidRPr="00FC5717"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>0 Mb/s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D707" w14:textId="77777777" w:rsidR="002F4229" w:rsidRPr="00FC5717" w:rsidRDefault="002F4229" w:rsidP="00D067D3">
            <w:pPr>
              <w:jc w:val="center"/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>5</w:t>
            </w:r>
            <w:r w:rsidRPr="00FC5717"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 xml:space="preserve"> Mb/s</w:t>
            </w:r>
          </w:p>
        </w:tc>
      </w:tr>
      <w:tr w:rsidR="002F4229" w:rsidRPr="00FC5717" w14:paraId="1CEA0632" w14:textId="77777777" w:rsidTr="00D067D3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3CDB" w14:textId="77777777" w:rsidR="002F4229" w:rsidRPr="00FC5717" w:rsidRDefault="002F4229" w:rsidP="00D067D3">
            <w:pPr>
              <w:jc w:val="both"/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</w:pPr>
            <w:r w:rsidRPr="00FC5717"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>Běžně dostupná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D7320" w14:textId="77777777" w:rsidR="002F4229" w:rsidRPr="00FC5717" w:rsidRDefault="002F4229" w:rsidP="00D067D3">
            <w:pPr>
              <w:jc w:val="center"/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>30</w:t>
            </w:r>
            <w:r w:rsidRPr="00FC5717"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C5717"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>Mb</w:t>
            </w:r>
            <w:proofErr w:type="spellEnd"/>
            <w:r w:rsidRPr="00FC5717"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>/s*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7D19" w14:textId="77777777" w:rsidR="002F4229" w:rsidRPr="00FC5717" w:rsidRDefault="002F4229" w:rsidP="00D067D3">
            <w:pPr>
              <w:jc w:val="center"/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>3</w:t>
            </w:r>
            <w:r w:rsidRPr="00FC5717"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 xml:space="preserve"> Mb/s</w:t>
            </w:r>
          </w:p>
        </w:tc>
      </w:tr>
      <w:tr w:rsidR="002F4229" w:rsidRPr="00FC5717" w14:paraId="2F75C867" w14:textId="77777777" w:rsidTr="00D067D3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6509" w14:textId="77777777" w:rsidR="002F4229" w:rsidRPr="00FC5717" w:rsidRDefault="002F4229" w:rsidP="00D067D3">
            <w:pPr>
              <w:jc w:val="both"/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</w:pPr>
            <w:r w:rsidRPr="00FC5717"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>Minimální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DEF0" w14:textId="77777777" w:rsidR="002F4229" w:rsidRPr="00FC5717" w:rsidRDefault="002F4229" w:rsidP="00D067D3">
            <w:pPr>
              <w:jc w:val="center"/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>15</w:t>
            </w:r>
            <w:r w:rsidRPr="00FC5717"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 xml:space="preserve"> Mb/s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80C5" w14:textId="77777777" w:rsidR="002F4229" w:rsidRPr="00FC5717" w:rsidRDefault="002F4229" w:rsidP="00D067D3">
            <w:pPr>
              <w:jc w:val="center"/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>1,5</w:t>
            </w:r>
            <w:r w:rsidRPr="00FC5717"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 xml:space="preserve"> Mb/s</w:t>
            </w:r>
          </w:p>
        </w:tc>
      </w:tr>
      <w:tr w:rsidR="002F4229" w:rsidRPr="00FC5717" w14:paraId="3A904453" w14:textId="77777777" w:rsidTr="00D067D3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F228" w14:textId="77777777" w:rsidR="002F4229" w:rsidRPr="00FC5717" w:rsidRDefault="002F4229" w:rsidP="00D067D3">
            <w:pPr>
              <w:jc w:val="both"/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</w:pPr>
            <w:r w:rsidRPr="00FC5717"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>Maximální</w:t>
            </w:r>
          </w:p>
        </w:tc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C119" w14:textId="77777777" w:rsidR="002F4229" w:rsidRPr="00FC5717" w:rsidRDefault="002F4229" w:rsidP="00D067D3">
            <w:pPr>
              <w:jc w:val="center"/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>5</w:t>
            </w:r>
            <w:r w:rsidRPr="00FC5717"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>0 Mb/s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AA61" w14:textId="77777777" w:rsidR="002F4229" w:rsidRPr="00FC5717" w:rsidRDefault="002F4229" w:rsidP="00D067D3">
            <w:pPr>
              <w:jc w:val="center"/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>5</w:t>
            </w:r>
            <w:r w:rsidRPr="00FC5717">
              <w:rPr>
                <w:rFonts w:ascii="Calibri" w:hAnsi="Calibri" w:cstheme="minorHAnsi"/>
                <w:bCs/>
                <w:sz w:val="20"/>
                <w:szCs w:val="20"/>
                <w:shd w:val="clear" w:color="auto" w:fill="FFFFFF"/>
              </w:rPr>
              <w:t xml:space="preserve"> Mb/s</w:t>
            </w:r>
          </w:p>
        </w:tc>
      </w:tr>
    </w:tbl>
    <w:p w14:paraId="4B99EC02" w14:textId="3C86C22F" w:rsidR="002F4229" w:rsidRDefault="002F4229" w:rsidP="002F4229">
      <w:pPr>
        <w:spacing w:before="120"/>
        <w:jc w:val="both"/>
        <w:rPr>
          <w:rFonts w:ascii="Calibri" w:hAnsi="Calibri" w:cstheme="minorHAnsi"/>
          <w:bCs/>
          <w:sz w:val="20"/>
          <w:szCs w:val="20"/>
          <w:shd w:val="clear" w:color="auto" w:fill="FFFFFF"/>
        </w:rPr>
      </w:pPr>
      <w:r w:rsidRPr="00FC5717">
        <w:rPr>
          <w:rFonts w:ascii="Calibri" w:hAnsi="Calibri" w:cstheme="minorHAnsi"/>
          <w:bCs/>
          <w:sz w:val="20"/>
          <w:szCs w:val="20"/>
          <w:shd w:val="clear" w:color="auto" w:fill="FFFFFF"/>
        </w:rPr>
        <w:t xml:space="preserve">*Běžně dostupná rychlost za předpokladu, že je v provozu </w:t>
      </w:r>
      <w:r w:rsidRPr="00FC5717">
        <w:rPr>
          <w:rFonts w:ascii="Calibri" w:hAnsi="Calibri" w:cstheme="minorHAnsi"/>
          <w:sz w:val="20"/>
          <w:szCs w:val="20"/>
        </w:rPr>
        <w:t xml:space="preserve">1 koncový bod služby digitálního televizního vysílání. Pokud budou v provozu 4 zařízení, tak běžně dostupná rychlost může klesnout až na </w:t>
      </w:r>
      <w:r>
        <w:rPr>
          <w:rFonts w:ascii="Calibri" w:hAnsi="Calibri" w:cstheme="minorHAnsi"/>
          <w:sz w:val="20"/>
          <w:szCs w:val="20"/>
        </w:rPr>
        <w:t>18</w:t>
      </w:r>
      <w:r w:rsidRPr="00FC5717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FC5717">
        <w:rPr>
          <w:rFonts w:ascii="Calibri" w:hAnsi="Calibri" w:cstheme="minorHAnsi"/>
          <w:sz w:val="20"/>
          <w:szCs w:val="20"/>
        </w:rPr>
        <w:t>Mb</w:t>
      </w:r>
      <w:proofErr w:type="spellEnd"/>
      <w:r w:rsidRPr="00FC5717">
        <w:rPr>
          <w:rFonts w:ascii="Calibri" w:hAnsi="Calibri" w:cstheme="minorHAnsi"/>
          <w:sz w:val="20"/>
          <w:szCs w:val="20"/>
        </w:rPr>
        <w:t>/s.</w:t>
      </w:r>
      <w:r w:rsidRPr="00FC5717">
        <w:rPr>
          <w:rFonts w:ascii="Calibri" w:hAnsi="Calibri" w:cstheme="minorHAnsi"/>
          <w:bCs/>
          <w:sz w:val="20"/>
          <w:szCs w:val="20"/>
          <w:shd w:val="clear" w:color="auto" w:fill="FFFFFF"/>
        </w:rPr>
        <w:t xml:space="preserve"> Pokud nebudou žádná tato zařízení v provozu, rychlost internetu se zvýší. Doporučujeme současný provoz max. 2 zařízení. Výpočet číselných hodnot rychlostí internetu pracuje s předpokladem provozu běžně využívaných zařízení s průměrnými technickými parametry.</w:t>
      </w:r>
    </w:p>
    <w:p w14:paraId="6AFFE9FB" w14:textId="77777777" w:rsidR="002F4229" w:rsidRDefault="002F4229" w:rsidP="002F4229">
      <w:pPr>
        <w:spacing w:before="120"/>
        <w:jc w:val="both"/>
        <w:rPr>
          <w:rFonts w:ascii="Calibri" w:hAnsi="Calibri" w:cstheme="minorHAnsi"/>
          <w:bCs/>
          <w:sz w:val="20"/>
          <w:szCs w:val="20"/>
          <w:shd w:val="clear" w:color="auto" w:fill="FFFFFF"/>
        </w:rPr>
      </w:pPr>
    </w:p>
    <w:p w14:paraId="76C0398B" w14:textId="77777777" w:rsidR="002F4229" w:rsidRPr="002F4229" w:rsidRDefault="002F4229" w:rsidP="002F422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F4229">
        <w:rPr>
          <w:rFonts w:asciiTheme="minorHAnsi" w:hAnsiTheme="minorHAnsi" w:cstheme="minorHAnsi"/>
          <w:sz w:val="20"/>
          <w:szCs w:val="20"/>
        </w:rPr>
        <w:t>Tato technická specifikace</w:t>
      </w:r>
      <w:r w:rsidRPr="002F4229">
        <w:rPr>
          <w:rFonts w:asciiTheme="minorHAnsi" w:hAnsiTheme="minorHAnsi" w:cstheme="minorHAnsi"/>
          <w:b/>
          <w:bCs/>
          <w:sz w:val="20"/>
          <w:szCs w:val="20"/>
        </w:rPr>
        <w:t xml:space="preserve"> mění a upřesňuje výklad pojmů uvedených v čl. II. Odst. 16.-19. VOP </w:t>
      </w:r>
      <w:r w:rsidRPr="002F4229">
        <w:rPr>
          <w:rFonts w:asciiTheme="minorHAnsi" w:hAnsiTheme="minorHAnsi" w:cstheme="minorHAnsi"/>
          <w:sz w:val="20"/>
          <w:szCs w:val="20"/>
        </w:rPr>
        <w:t>dle znění všeobecného oprávnění č. VO-S/1/08.2020-9 účinného od 1.1.2021 takto:</w:t>
      </w:r>
    </w:p>
    <w:p w14:paraId="476C70F9" w14:textId="77777777" w:rsidR="002F4229" w:rsidRPr="002F4229" w:rsidRDefault="002F4229" w:rsidP="002F4229">
      <w:p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4229">
        <w:rPr>
          <w:rFonts w:asciiTheme="minorHAnsi" w:hAnsiTheme="minorHAnsi" w:cstheme="minorHAnsi"/>
          <w:b/>
          <w:sz w:val="20"/>
          <w:szCs w:val="20"/>
          <w:u w:val="single"/>
        </w:rPr>
        <w:t xml:space="preserve">Inzerovaná </w:t>
      </w:r>
      <w:proofErr w:type="gramStart"/>
      <w:r w:rsidRPr="002F4229">
        <w:rPr>
          <w:rFonts w:asciiTheme="minorHAnsi" w:hAnsiTheme="minorHAnsi" w:cstheme="minorHAnsi"/>
          <w:b/>
          <w:sz w:val="20"/>
          <w:szCs w:val="20"/>
          <w:u w:val="single"/>
        </w:rPr>
        <w:t>rychlost</w:t>
      </w:r>
      <w:r w:rsidRPr="002F4229">
        <w:rPr>
          <w:rFonts w:asciiTheme="minorHAnsi" w:hAnsiTheme="minorHAnsi" w:cstheme="minorHAnsi"/>
          <w:bCs/>
          <w:sz w:val="20"/>
          <w:szCs w:val="20"/>
        </w:rPr>
        <w:t xml:space="preserve"> - rychlost</w:t>
      </w:r>
      <w:proofErr w:type="gramEnd"/>
      <w:r w:rsidRPr="002F4229">
        <w:rPr>
          <w:rFonts w:asciiTheme="minorHAnsi" w:hAnsiTheme="minorHAnsi" w:cstheme="minorHAnsi"/>
          <w:bCs/>
          <w:sz w:val="20"/>
          <w:szCs w:val="20"/>
        </w:rPr>
        <w:t xml:space="preserve"> odpovídající stahování (</w:t>
      </w:r>
      <w:proofErr w:type="spellStart"/>
      <w:r w:rsidRPr="002F4229">
        <w:rPr>
          <w:rFonts w:asciiTheme="minorHAnsi" w:hAnsiTheme="minorHAnsi" w:cstheme="minorHAnsi"/>
          <w:bCs/>
          <w:sz w:val="20"/>
          <w:szCs w:val="20"/>
        </w:rPr>
        <w:t>download</w:t>
      </w:r>
      <w:proofErr w:type="spellEnd"/>
      <w:r w:rsidRPr="002F4229">
        <w:rPr>
          <w:rFonts w:asciiTheme="minorHAnsi" w:hAnsiTheme="minorHAnsi" w:cstheme="minorHAnsi"/>
          <w:bCs/>
          <w:sz w:val="20"/>
          <w:szCs w:val="20"/>
        </w:rPr>
        <w:t>) a vkládání (upload) dat, jakou poskytovatel služby přístupu k internetu uvádí ve své obchodní komunikaci, včetně reklamy a marketingu, v souvislosti s propagací nabídek služby přístupu k internetu, a jakou označuje službu přístupu k internetu při uzavírání smluvního vztahu s uživatelem. Hodnota inzerované rychlosti není větší než maximální rychlost.</w:t>
      </w:r>
    </w:p>
    <w:p w14:paraId="2636D474" w14:textId="77777777" w:rsidR="002F4229" w:rsidRPr="002F4229" w:rsidRDefault="002F4229" w:rsidP="002F4229">
      <w:p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4229">
        <w:rPr>
          <w:rFonts w:asciiTheme="minorHAnsi" w:hAnsiTheme="minorHAnsi" w:cstheme="minorHAnsi"/>
          <w:b/>
          <w:sz w:val="20"/>
          <w:szCs w:val="20"/>
          <w:u w:val="single"/>
        </w:rPr>
        <w:t xml:space="preserve">Běžně dostupná </w:t>
      </w:r>
      <w:proofErr w:type="gramStart"/>
      <w:r w:rsidRPr="002F4229">
        <w:rPr>
          <w:rFonts w:asciiTheme="minorHAnsi" w:hAnsiTheme="minorHAnsi" w:cstheme="minorHAnsi"/>
          <w:b/>
          <w:sz w:val="20"/>
          <w:szCs w:val="20"/>
          <w:u w:val="single"/>
        </w:rPr>
        <w:t>rychlost</w:t>
      </w:r>
      <w:r w:rsidRPr="002F4229">
        <w:rPr>
          <w:rFonts w:asciiTheme="minorHAnsi" w:hAnsiTheme="minorHAnsi" w:cstheme="minorHAnsi"/>
          <w:bCs/>
          <w:sz w:val="20"/>
          <w:szCs w:val="20"/>
        </w:rPr>
        <w:t xml:space="preserve"> - rychlost</w:t>
      </w:r>
      <w:proofErr w:type="gramEnd"/>
      <w:r w:rsidRPr="002F4229">
        <w:rPr>
          <w:rFonts w:asciiTheme="minorHAnsi" w:hAnsiTheme="minorHAnsi" w:cstheme="minorHAnsi"/>
          <w:bCs/>
          <w:sz w:val="20"/>
          <w:szCs w:val="20"/>
        </w:rPr>
        <w:t xml:space="preserve"> odpovídající stahování (</w:t>
      </w:r>
      <w:proofErr w:type="spellStart"/>
      <w:r w:rsidRPr="002F4229">
        <w:rPr>
          <w:rFonts w:asciiTheme="minorHAnsi" w:hAnsiTheme="minorHAnsi" w:cstheme="minorHAnsi"/>
          <w:bCs/>
          <w:sz w:val="20"/>
          <w:szCs w:val="20"/>
        </w:rPr>
        <w:t>download</w:t>
      </w:r>
      <w:proofErr w:type="spellEnd"/>
      <w:r w:rsidRPr="002F4229">
        <w:rPr>
          <w:rFonts w:asciiTheme="minorHAnsi" w:hAnsiTheme="minorHAnsi" w:cstheme="minorHAnsi"/>
          <w:bCs/>
          <w:sz w:val="20"/>
          <w:szCs w:val="20"/>
        </w:rPr>
        <w:t xml:space="preserve">) a vkládání (upload) dat, jejíž hodnotu může uživatel předpokládat a reálně dosahovat v době, kdy danou službu používá. Hodnota běžně dostupné rychlosti odpovídá </w:t>
      </w:r>
      <w:r w:rsidRPr="002F4229">
        <w:rPr>
          <w:rFonts w:asciiTheme="minorHAnsi" w:hAnsiTheme="minorHAnsi" w:cstheme="minorHAnsi"/>
          <w:b/>
          <w:sz w:val="20"/>
          <w:szCs w:val="20"/>
        </w:rPr>
        <w:t xml:space="preserve">alespoň 60 % hodnoty rychlosti inzerované </w:t>
      </w:r>
      <w:r w:rsidRPr="002F4229">
        <w:rPr>
          <w:rFonts w:asciiTheme="minorHAnsi" w:hAnsiTheme="minorHAnsi" w:cstheme="minorHAnsi"/>
          <w:bCs/>
          <w:sz w:val="20"/>
          <w:szCs w:val="20"/>
        </w:rPr>
        <w:t>a je dostupná v 95 % času během jednoho kalendářního dne.</w:t>
      </w:r>
    </w:p>
    <w:p w14:paraId="2081315F" w14:textId="57DCD751" w:rsidR="002F4229" w:rsidRPr="002F4229" w:rsidRDefault="002F4229" w:rsidP="002F4229">
      <w:pPr>
        <w:spacing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4229">
        <w:rPr>
          <w:rFonts w:asciiTheme="minorHAnsi" w:hAnsiTheme="minorHAnsi" w:cstheme="minorHAnsi"/>
          <w:b/>
          <w:sz w:val="20"/>
          <w:szCs w:val="20"/>
          <w:u w:val="single"/>
        </w:rPr>
        <w:t>Minimální rychlost</w:t>
      </w:r>
      <w:r w:rsidRPr="002F4229">
        <w:rPr>
          <w:rFonts w:asciiTheme="minorHAnsi" w:hAnsiTheme="minorHAnsi" w:cstheme="minorHAnsi"/>
          <w:bCs/>
          <w:sz w:val="20"/>
          <w:szCs w:val="20"/>
        </w:rPr>
        <w:t xml:space="preserve"> – nejnižší rychlost stahování (</w:t>
      </w:r>
      <w:proofErr w:type="spellStart"/>
      <w:r w:rsidRPr="002F4229">
        <w:rPr>
          <w:rFonts w:asciiTheme="minorHAnsi" w:hAnsiTheme="minorHAnsi" w:cstheme="minorHAnsi"/>
          <w:bCs/>
          <w:sz w:val="20"/>
          <w:szCs w:val="20"/>
        </w:rPr>
        <w:t>download</w:t>
      </w:r>
      <w:proofErr w:type="spellEnd"/>
      <w:r w:rsidRPr="002F4229">
        <w:rPr>
          <w:rFonts w:asciiTheme="minorHAnsi" w:hAnsiTheme="minorHAnsi" w:cstheme="minorHAnsi"/>
          <w:bCs/>
          <w:sz w:val="20"/>
          <w:szCs w:val="20"/>
        </w:rPr>
        <w:t xml:space="preserve">) nebo vkládání (upload) dat, kterou se poskytovatel služby přístupu k internetu smluvně zavázal uživateli poskytnout. Hodnota minimální rychlosti odpovídá </w:t>
      </w:r>
      <w:r w:rsidRPr="002F4229">
        <w:rPr>
          <w:rFonts w:asciiTheme="minorHAnsi" w:hAnsiTheme="minorHAnsi" w:cstheme="minorHAnsi"/>
          <w:b/>
          <w:sz w:val="20"/>
          <w:szCs w:val="20"/>
        </w:rPr>
        <w:t>alespoň 30 % hodnoty rychlosti inzerované</w:t>
      </w:r>
      <w:r w:rsidRPr="002F4229">
        <w:rPr>
          <w:rFonts w:asciiTheme="minorHAnsi" w:hAnsiTheme="minorHAnsi" w:cstheme="minorHAnsi"/>
          <w:bCs/>
          <w:sz w:val="20"/>
          <w:szCs w:val="20"/>
        </w:rPr>
        <w:t xml:space="preserve">. V případě, že rychlost poskytnuté služby klesne pod tuto hodnotu, jedná se o výpadek služby a </w:t>
      </w:r>
      <w:r w:rsidRPr="002F4229">
        <w:rPr>
          <w:rFonts w:asciiTheme="minorHAnsi" w:hAnsiTheme="minorHAnsi" w:cstheme="minorHAnsi"/>
          <w:sz w:val="20"/>
          <w:szCs w:val="20"/>
        </w:rPr>
        <w:t>uživatel má právo službu reklamovat dle platných právních předpisů, Řádu datových a telekomunikačních služeb a VOP poskytovatele.</w:t>
      </w:r>
    </w:p>
    <w:p w14:paraId="6F6F7BF6" w14:textId="1AD6957E" w:rsidR="002F4229" w:rsidRPr="002F4229" w:rsidRDefault="002F4229" w:rsidP="002F4229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F4229">
        <w:rPr>
          <w:rFonts w:asciiTheme="minorHAnsi" w:hAnsiTheme="minorHAnsi" w:cstheme="minorHAnsi"/>
          <w:b/>
          <w:sz w:val="20"/>
          <w:szCs w:val="20"/>
          <w:u w:val="single"/>
        </w:rPr>
        <w:t xml:space="preserve">Maximální </w:t>
      </w:r>
      <w:proofErr w:type="gramStart"/>
      <w:r w:rsidRPr="002F4229">
        <w:rPr>
          <w:rFonts w:asciiTheme="minorHAnsi" w:hAnsiTheme="minorHAnsi" w:cstheme="minorHAnsi"/>
          <w:b/>
          <w:sz w:val="20"/>
          <w:szCs w:val="20"/>
          <w:u w:val="single"/>
        </w:rPr>
        <w:t>rychlost</w:t>
      </w:r>
      <w:r w:rsidRPr="002F4229">
        <w:rPr>
          <w:rFonts w:asciiTheme="minorHAnsi" w:hAnsiTheme="minorHAnsi" w:cstheme="minorHAnsi"/>
          <w:bCs/>
          <w:sz w:val="20"/>
          <w:szCs w:val="20"/>
        </w:rPr>
        <w:t xml:space="preserve"> - nejvyšší</w:t>
      </w:r>
      <w:proofErr w:type="gramEnd"/>
      <w:r w:rsidRPr="002F4229">
        <w:rPr>
          <w:rFonts w:asciiTheme="minorHAnsi" w:hAnsiTheme="minorHAnsi" w:cstheme="minorHAnsi"/>
          <w:bCs/>
          <w:sz w:val="20"/>
          <w:szCs w:val="20"/>
        </w:rPr>
        <w:t xml:space="preserve"> možná rychlost stahování (</w:t>
      </w:r>
      <w:proofErr w:type="spellStart"/>
      <w:r w:rsidRPr="002F4229">
        <w:rPr>
          <w:rFonts w:asciiTheme="minorHAnsi" w:hAnsiTheme="minorHAnsi" w:cstheme="minorHAnsi"/>
          <w:bCs/>
          <w:sz w:val="20"/>
          <w:szCs w:val="20"/>
        </w:rPr>
        <w:t>download</w:t>
      </w:r>
      <w:proofErr w:type="spellEnd"/>
      <w:r w:rsidRPr="002F4229">
        <w:rPr>
          <w:rFonts w:asciiTheme="minorHAnsi" w:hAnsiTheme="minorHAnsi" w:cstheme="minorHAnsi"/>
          <w:bCs/>
          <w:sz w:val="20"/>
          <w:szCs w:val="20"/>
        </w:rPr>
        <w:t xml:space="preserve">) nebo vkládání (upload) dat, kterou příslušný poskytovatel služby přístupu k internetu uvedl ve smlouvě uživateli pro poskytování dané služby. Maximální rychlost musí být stanovena realisticky s ohledem na použitou technologii a její přenosové možnosti a s ohledem na konkrétní podmínky nasazení, které jsou pro rychlosti stahování a vkládání limitující. Maximální rychlost musí být na dané přípojce či v daném místě připojení reálně </w:t>
      </w:r>
      <w:r w:rsidRPr="002F4229">
        <w:rPr>
          <w:rFonts w:asciiTheme="minorHAnsi" w:hAnsiTheme="minorHAnsi" w:cstheme="minorHAnsi"/>
          <w:bCs/>
          <w:sz w:val="20"/>
          <w:szCs w:val="20"/>
        </w:rPr>
        <w:lastRenderedPageBreak/>
        <w:t>dosažitelná s možností variací způsobené prokazatelně pouze fyzikálními vlastnostmi daného koncového bodu. Maximální rychlost nesmí být menší než hodnota inzerované rychlosti.</w:t>
      </w:r>
    </w:p>
    <w:p w14:paraId="22F37ABD" w14:textId="77777777" w:rsidR="002F4229" w:rsidRDefault="002F4229" w:rsidP="002F4229">
      <w:pPr>
        <w:jc w:val="both"/>
        <w:rPr>
          <w:rFonts w:ascii="Calibri" w:hAnsi="Calibri" w:cstheme="minorHAnsi"/>
          <w:bCs/>
          <w:sz w:val="20"/>
          <w:szCs w:val="20"/>
          <w:shd w:val="clear" w:color="auto" w:fill="FFFFFF"/>
        </w:rPr>
      </w:pPr>
    </w:p>
    <w:p w14:paraId="71B86D90" w14:textId="77777777" w:rsidR="002F4229" w:rsidRPr="00CA5D3D" w:rsidRDefault="002F4229" w:rsidP="002F4229">
      <w:pPr>
        <w:jc w:val="both"/>
        <w:rPr>
          <w:rFonts w:ascii="Calibri" w:hAnsi="Calibri" w:cstheme="minorHAnsi"/>
          <w:b/>
          <w:sz w:val="20"/>
          <w:szCs w:val="20"/>
        </w:rPr>
      </w:pPr>
      <w:r w:rsidRPr="00CA5D3D">
        <w:rPr>
          <w:rFonts w:ascii="Calibri" w:hAnsi="Calibri" w:cstheme="minorHAnsi"/>
          <w:b/>
          <w:sz w:val="20"/>
          <w:szCs w:val="20"/>
        </w:rPr>
        <w:t>Technická omezení služby:</w:t>
      </w:r>
    </w:p>
    <w:p w14:paraId="4B502366" w14:textId="77777777" w:rsidR="002F4229" w:rsidRPr="00CA5D3D" w:rsidRDefault="002F4229" w:rsidP="002F4229">
      <w:pPr>
        <w:jc w:val="both"/>
        <w:rPr>
          <w:rFonts w:ascii="Calibri" w:hAnsi="Calibri" w:cstheme="minorHAnsi"/>
          <w:color w:val="FF0000"/>
          <w:sz w:val="20"/>
          <w:szCs w:val="20"/>
        </w:rPr>
      </w:pPr>
      <w:r w:rsidRPr="00CA5D3D">
        <w:rPr>
          <w:rFonts w:ascii="Calibri" w:hAnsi="Calibri" w:cstheme="minorHAnsi"/>
          <w:sz w:val="20"/>
          <w:szCs w:val="20"/>
        </w:rPr>
        <w:t xml:space="preserve">Přístup do sítě internet o přenosové kapacitě </w:t>
      </w:r>
      <w:r>
        <w:rPr>
          <w:rFonts w:ascii="Calibri" w:hAnsi="Calibri" w:cstheme="minorHAnsi"/>
          <w:b/>
          <w:sz w:val="20"/>
          <w:szCs w:val="20"/>
        </w:rPr>
        <w:t xml:space="preserve">50 </w:t>
      </w:r>
      <w:r w:rsidRPr="00CA5D3D">
        <w:rPr>
          <w:rFonts w:ascii="Calibri" w:hAnsi="Calibri" w:cstheme="minorHAnsi"/>
          <w:b/>
          <w:sz w:val="20"/>
          <w:szCs w:val="20"/>
        </w:rPr>
        <w:t>Mb/s</w:t>
      </w:r>
      <w:r w:rsidRPr="00CA5D3D">
        <w:rPr>
          <w:rFonts w:ascii="Calibri" w:hAnsi="Calibri" w:cstheme="minorHAnsi"/>
          <w:sz w:val="20"/>
          <w:szCs w:val="20"/>
        </w:rPr>
        <w:t xml:space="preserve"> je realizován po instalaci výhradně poskytovatelem dodaného koncového zařízení, kde</w:t>
      </w:r>
      <w:r w:rsidRPr="00CA5D3D">
        <w:rPr>
          <w:rFonts w:ascii="Calibri" w:hAnsi="Calibri" w:cstheme="minorHAnsi"/>
          <w:color w:val="FF0000"/>
          <w:sz w:val="20"/>
          <w:szCs w:val="20"/>
        </w:rPr>
        <w:t xml:space="preserve"> </w:t>
      </w:r>
      <w:r w:rsidRPr="00CA5D3D">
        <w:rPr>
          <w:rFonts w:ascii="Calibri" w:hAnsi="Calibri" w:cstheme="minorHAnsi"/>
          <w:b/>
          <w:sz w:val="20"/>
          <w:szCs w:val="20"/>
        </w:rPr>
        <w:t>koncovým bodem služby</w:t>
      </w:r>
      <w:r w:rsidRPr="00CA5D3D">
        <w:rPr>
          <w:rFonts w:ascii="Calibri" w:hAnsi="Calibri" w:cstheme="minorHAnsi"/>
          <w:sz w:val="20"/>
          <w:szCs w:val="20"/>
        </w:rPr>
        <w:t xml:space="preserve"> se rozumí kabel z tohoto koncového zařízení zakončený konektorem RJ45. Podmínkou je zařízení se síťovým rozhraním Ethernet. Výkon zařízení účastníka přímo ovlivňuje odezvu a rychlost služby a internetových aplikací. Poskytovatel služby neručí za možné snížení kvality a rychlosti služby vyplývající z hardwarových nebo softwarových problémů v zařízení účastníka. </w:t>
      </w:r>
    </w:p>
    <w:p w14:paraId="5C6AE415" w14:textId="77777777" w:rsidR="002F4229" w:rsidRPr="00CA5D3D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</w:p>
    <w:p w14:paraId="0BBCE647" w14:textId="77777777" w:rsidR="002F4229" w:rsidRPr="00CA5D3D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  <w:r w:rsidRPr="00CA5D3D">
        <w:rPr>
          <w:rFonts w:ascii="Calibri" w:hAnsi="Calibri" w:cstheme="minorHAnsi"/>
          <w:sz w:val="20"/>
          <w:szCs w:val="20"/>
        </w:rPr>
        <w:t>Doporučení pro dosažení maximální rychlosti služby jsou pro účastníka následující:</w:t>
      </w:r>
    </w:p>
    <w:p w14:paraId="68DAF3CD" w14:textId="77777777" w:rsidR="002F4229" w:rsidRPr="00CA5D3D" w:rsidRDefault="002F4229" w:rsidP="002F4229">
      <w:pPr>
        <w:pStyle w:val="Odstavecseseznamem"/>
        <w:numPr>
          <w:ilvl w:val="0"/>
          <w:numId w:val="7"/>
        </w:numPr>
        <w:suppressAutoHyphens w:val="0"/>
        <w:jc w:val="both"/>
        <w:rPr>
          <w:rFonts w:ascii="Calibri" w:hAnsi="Calibri" w:cstheme="minorHAnsi"/>
          <w:sz w:val="20"/>
          <w:szCs w:val="20"/>
        </w:rPr>
      </w:pPr>
      <w:r w:rsidRPr="00CA5D3D">
        <w:rPr>
          <w:rFonts w:ascii="Calibri" w:hAnsi="Calibri" w:cstheme="minorHAnsi"/>
          <w:sz w:val="20"/>
          <w:szCs w:val="20"/>
        </w:rPr>
        <w:t>Udržovat aktualizovaný operační systém</w:t>
      </w:r>
    </w:p>
    <w:p w14:paraId="32C800A6" w14:textId="77777777" w:rsidR="002F4229" w:rsidRPr="00CA5D3D" w:rsidRDefault="002F4229" w:rsidP="002F4229">
      <w:pPr>
        <w:pStyle w:val="Odstavecseseznamem"/>
        <w:numPr>
          <w:ilvl w:val="0"/>
          <w:numId w:val="7"/>
        </w:numPr>
        <w:suppressAutoHyphens w:val="0"/>
        <w:jc w:val="both"/>
        <w:rPr>
          <w:rFonts w:ascii="Calibri" w:hAnsi="Calibri" w:cstheme="minorHAnsi"/>
          <w:sz w:val="20"/>
          <w:szCs w:val="20"/>
        </w:rPr>
      </w:pPr>
      <w:r w:rsidRPr="00CA5D3D">
        <w:rPr>
          <w:rFonts w:ascii="Calibri" w:hAnsi="Calibri" w:cstheme="minorHAnsi"/>
          <w:sz w:val="20"/>
          <w:szCs w:val="20"/>
        </w:rPr>
        <w:t>Zajistit aktivní a aktuální antivirovou ochranu v počítači</w:t>
      </w:r>
    </w:p>
    <w:p w14:paraId="3DCDBFD7" w14:textId="77777777" w:rsidR="002F4229" w:rsidRPr="00CA5D3D" w:rsidRDefault="002F4229" w:rsidP="002F4229">
      <w:pPr>
        <w:pStyle w:val="Odstavecseseznamem"/>
        <w:numPr>
          <w:ilvl w:val="0"/>
          <w:numId w:val="7"/>
        </w:numPr>
        <w:suppressAutoHyphens w:val="0"/>
        <w:jc w:val="both"/>
        <w:rPr>
          <w:rFonts w:ascii="Calibri" w:hAnsi="Calibri" w:cstheme="minorHAnsi"/>
          <w:sz w:val="20"/>
          <w:szCs w:val="20"/>
        </w:rPr>
      </w:pPr>
      <w:r w:rsidRPr="00CA5D3D">
        <w:rPr>
          <w:rFonts w:ascii="Calibri" w:hAnsi="Calibri" w:cstheme="minorHAnsi"/>
          <w:sz w:val="20"/>
          <w:szCs w:val="20"/>
        </w:rPr>
        <w:t>Používat poskytovatelem doporučená zařízení pro připojení k internetu</w:t>
      </w:r>
    </w:p>
    <w:p w14:paraId="1945654A" w14:textId="77777777" w:rsidR="002F4229" w:rsidRPr="00CA5D3D" w:rsidRDefault="002F4229" w:rsidP="002F4229">
      <w:pPr>
        <w:pStyle w:val="Odstavecseseznamem"/>
        <w:jc w:val="both"/>
        <w:rPr>
          <w:rFonts w:ascii="Calibri" w:hAnsi="Calibri" w:cstheme="minorHAnsi"/>
          <w:sz w:val="20"/>
          <w:szCs w:val="20"/>
        </w:rPr>
      </w:pPr>
    </w:p>
    <w:p w14:paraId="164B749E" w14:textId="77777777" w:rsidR="002F4229" w:rsidRPr="00CA5D3D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  <w:r w:rsidRPr="00CA5D3D">
        <w:rPr>
          <w:rFonts w:ascii="Calibri" w:hAnsi="Calibri" w:cstheme="minorHAnsi"/>
          <w:sz w:val="20"/>
          <w:szCs w:val="20"/>
        </w:rPr>
        <w:t xml:space="preserve">Kvalitu a dostupnost služby </w:t>
      </w:r>
      <w:r w:rsidRPr="00CA5D3D">
        <w:rPr>
          <w:rFonts w:ascii="Calibri" w:hAnsi="Calibri" w:cstheme="minorHAnsi"/>
          <w:b/>
          <w:sz w:val="20"/>
          <w:szCs w:val="20"/>
        </w:rPr>
        <w:t xml:space="preserve">Wi-Fi </w:t>
      </w:r>
      <w:r>
        <w:rPr>
          <w:rFonts w:ascii="Calibri" w:hAnsi="Calibri" w:cstheme="minorHAnsi"/>
          <w:b/>
          <w:sz w:val="20"/>
          <w:szCs w:val="20"/>
        </w:rPr>
        <w:t>5</w:t>
      </w:r>
      <w:r w:rsidRPr="00CA5D3D">
        <w:rPr>
          <w:rFonts w:ascii="Calibri" w:hAnsi="Calibri" w:cstheme="minorHAnsi"/>
          <w:b/>
          <w:sz w:val="20"/>
          <w:szCs w:val="20"/>
        </w:rPr>
        <w:t>0 Mb/s</w:t>
      </w:r>
      <w:r w:rsidRPr="00CA5D3D">
        <w:rPr>
          <w:rFonts w:ascii="Calibri" w:hAnsi="Calibri" w:cstheme="minorHAnsi"/>
          <w:sz w:val="20"/>
          <w:szCs w:val="20"/>
        </w:rPr>
        <w:t xml:space="preserve"> poskytovatel garantuje výhradně po kabelu, Wi-Fi řešení přenosu je možné, poskytovatel však není schopen technicky zajistit srovnatelnou kvalitu a dostupnost služby jako po kabelu. Připojení k internetu přes Wi-Fi router je ze své technologické podstaty a možnostmi ovlivnění okolními vlivy méně stabilní a nemusí dosahovat avizovaných rychlostí služby.</w:t>
      </w:r>
    </w:p>
    <w:p w14:paraId="67C595BB" w14:textId="77777777" w:rsidR="002F4229" w:rsidRPr="00CA5D3D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</w:p>
    <w:p w14:paraId="220E19F3" w14:textId="77777777" w:rsidR="002F4229" w:rsidRPr="00FC5717" w:rsidRDefault="002F4229" w:rsidP="002F4229">
      <w:pPr>
        <w:jc w:val="both"/>
        <w:rPr>
          <w:rFonts w:ascii="Calibri" w:hAnsi="Calibri" w:cstheme="minorHAnsi"/>
          <w:b/>
          <w:sz w:val="20"/>
          <w:szCs w:val="20"/>
        </w:rPr>
      </w:pPr>
      <w:r w:rsidRPr="00FC5717">
        <w:rPr>
          <w:rFonts w:ascii="Calibri" w:hAnsi="Calibri" w:cstheme="minorHAnsi"/>
          <w:b/>
          <w:sz w:val="20"/>
          <w:szCs w:val="20"/>
        </w:rPr>
        <w:t>Technické omezení digitální TV:</w:t>
      </w:r>
    </w:p>
    <w:p w14:paraId="12065227" w14:textId="77777777" w:rsidR="002F4229" w:rsidRPr="00CA5D3D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  <w:r w:rsidRPr="00FC5717">
        <w:rPr>
          <w:rFonts w:ascii="Calibri" w:hAnsi="Calibri" w:cstheme="minorHAnsi"/>
          <w:sz w:val="20"/>
          <w:szCs w:val="20"/>
        </w:rPr>
        <w:t xml:space="preserve">Služby televizního vysílání v digitální kvalitě s využitím technologie IPTV (Internet </w:t>
      </w:r>
      <w:proofErr w:type="spellStart"/>
      <w:r w:rsidRPr="00FC5717">
        <w:rPr>
          <w:rFonts w:ascii="Calibri" w:hAnsi="Calibri" w:cstheme="minorHAnsi"/>
          <w:sz w:val="20"/>
          <w:szCs w:val="20"/>
        </w:rPr>
        <w:t>Protocol</w:t>
      </w:r>
      <w:proofErr w:type="spellEnd"/>
      <w:r w:rsidRPr="00FC5717">
        <w:rPr>
          <w:rFonts w:ascii="Calibri" w:hAnsi="Calibri" w:cstheme="minorHAnsi"/>
          <w:sz w:val="20"/>
          <w:szCs w:val="20"/>
        </w:rPr>
        <w:t xml:space="preserve"> TV) jsou poskytovány po instalaci </w:t>
      </w:r>
      <w:r w:rsidRPr="00FC5717">
        <w:rPr>
          <w:rFonts w:ascii="Calibri" w:hAnsi="Calibri" w:cstheme="minorHAnsi"/>
          <w:b/>
          <w:sz w:val="20"/>
          <w:szCs w:val="20"/>
        </w:rPr>
        <w:t>koncového bodu služby</w:t>
      </w:r>
      <w:r w:rsidRPr="00FC5717">
        <w:rPr>
          <w:rFonts w:ascii="Calibri" w:hAnsi="Calibri" w:cstheme="minorHAnsi"/>
          <w:sz w:val="20"/>
          <w:szCs w:val="20"/>
        </w:rPr>
        <w:t>, kterým je Set-top-box (na této listině také jen jako „STBX“),</w:t>
      </w:r>
      <w:r w:rsidRPr="00FC5717">
        <w:t xml:space="preserve"> </w:t>
      </w:r>
      <w:r w:rsidRPr="00FC5717">
        <w:rPr>
          <w:rFonts w:ascii="Calibri" w:hAnsi="Calibri" w:cstheme="minorHAnsi"/>
          <w:sz w:val="20"/>
          <w:szCs w:val="20"/>
        </w:rPr>
        <w:t>Smart TV uživatele nebo jiné Zařízení, viz. Všeobecné podmínky pro poskytování služeb (VPS) provozovatele digitálního vysílání sledovanitv.cz s.r.o. Seznam podporovaných koncových zařízení je uveden na webových stránkách provozovatele https://sledovanitv.cz/info/s/applications. Popisy jednotlivých tarifů včetně TV programů a tematických balíčků jsou uvedeny v platném ceníku.</w:t>
      </w:r>
    </w:p>
    <w:p w14:paraId="178A519A" w14:textId="77777777" w:rsidR="002F4229" w:rsidRPr="00CA5D3D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</w:p>
    <w:p w14:paraId="30693399" w14:textId="77777777" w:rsidR="002F4229" w:rsidRPr="00FC5717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  <w:r w:rsidRPr="00CA5D3D">
        <w:rPr>
          <w:rFonts w:ascii="Calibri" w:hAnsi="Calibri" w:cstheme="minorHAnsi"/>
          <w:sz w:val="20"/>
          <w:szCs w:val="20"/>
        </w:rPr>
        <w:t xml:space="preserve">Služba televizního vysílání vždy ovlivní rychlost internetového připojení. V rámci této služby je možné provozovat </w:t>
      </w:r>
      <w:r w:rsidRPr="00FC5717">
        <w:rPr>
          <w:rFonts w:ascii="Calibri" w:hAnsi="Calibri" w:cstheme="minorHAnsi"/>
          <w:sz w:val="20"/>
          <w:szCs w:val="20"/>
        </w:rPr>
        <w:t xml:space="preserve">vždy alespoň 1 koncový bod služby. </w:t>
      </w:r>
      <w:r w:rsidRPr="00FC5717">
        <w:rPr>
          <w:rFonts w:ascii="Calibri" w:hAnsi="Calibri" w:cs="Tahoma"/>
          <w:color w:val="000000" w:themeColor="text1"/>
          <w:sz w:val="20"/>
          <w:szCs w:val="20"/>
        </w:rPr>
        <w:t xml:space="preserve">Je-li to technologicky možné, a to zejm. s ohledem na technické možnosti sítě v dané lokalitě, může poskytovatel umožnit uživateli čerpání (využití) služeb digitálního televizního vysílání, a to registrací max. 6 koncových bodů služby, </w:t>
      </w:r>
      <w:r w:rsidRPr="00FC5717">
        <w:rPr>
          <w:rFonts w:ascii="Tahoma" w:hAnsi="Tahoma" w:cs="Tahoma"/>
          <w:color w:val="000000" w:themeColor="text1"/>
          <w:sz w:val="17"/>
          <w:szCs w:val="17"/>
        </w:rPr>
        <w:t xml:space="preserve">a to max. 2 zařízení typu </w:t>
      </w:r>
      <w:r w:rsidRPr="00FC5717">
        <w:rPr>
          <w:rFonts w:ascii="Calibri" w:hAnsi="Calibri" w:cs="Tahoma"/>
          <w:color w:val="000000" w:themeColor="text1"/>
          <w:sz w:val="20"/>
          <w:szCs w:val="20"/>
        </w:rPr>
        <w:t>set top box (dále jen „STBX“)</w:t>
      </w:r>
      <w:r w:rsidRPr="00FC5717">
        <w:rPr>
          <w:rFonts w:ascii="Tahoma" w:hAnsi="Tahoma" w:cs="Tahoma"/>
          <w:color w:val="000000" w:themeColor="text1"/>
          <w:sz w:val="17"/>
          <w:szCs w:val="17"/>
        </w:rPr>
        <w:t xml:space="preserve"> a Smart TV </w:t>
      </w:r>
      <w:r w:rsidRPr="00FC5717">
        <w:rPr>
          <w:rFonts w:ascii="Calibri" w:hAnsi="Calibri" w:cs="Tahoma"/>
          <w:color w:val="000000" w:themeColor="text1"/>
          <w:sz w:val="20"/>
          <w:szCs w:val="20"/>
        </w:rPr>
        <w:t xml:space="preserve">(chytrá TV s možností instalace aplikace </w:t>
      </w:r>
      <w:proofErr w:type="spellStart"/>
      <w:r w:rsidRPr="00FC5717">
        <w:rPr>
          <w:rFonts w:ascii="Calibri" w:hAnsi="Calibri" w:cs="Tahoma"/>
          <w:color w:val="000000" w:themeColor="text1"/>
          <w:sz w:val="20"/>
          <w:szCs w:val="20"/>
        </w:rPr>
        <w:t>sledovaniTV</w:t>
      </w:r>
      <w:proofErr w:type="spellEnd"/>
      <w:r w:rsidRPr="00FC5717">
        <w:rPr>
          <w:rFonts w:ascii="Calibri" w:hAnsi="Calibri" w:cs="Tahoma"/>
          <w:color w:val="000000" w:themeColor="text1"/>
          <w:sz w:val="20"/>
          <w:szCs w:val="20"/>
        </w:rPr>
        <w:t xml:space="preserve">) </w:t>
      </w:r>
      <w:r w:rsidRPr="00FC5717">
        <w:rPr>
          <w:rFonts w:ascii="Tahoma" w:hAnsi="Tahoma" w:cs="Tahoma"/>
          <w:color w:val="000000" w:themeColor="text1"/>
          <w:sz w:val="17"/>
          <w:szCs w:val="17"/>
        </w:rPr>
        <w:t xml:space="preserve">a max. 4 zařízení second </w:t>
      </w:r>
      <w:proofErr w:type="spellStart"/>
      <w:r w:rsidRPr="00FC5717">
        <w:rPr>
          <w:rFonts w:ascii="Tahoma" w:hAnsi="Tahoma" w:cs="Tahoma"/>
          <w:color w:val="000000" w:themeColor="text1"/>
          <w:sz w:val="17"/>
          <w:szCs w:val="17"/>
        </w:rPr>
        <w:t>screen</w:t>
      </w:r>
      <w:proofErr w:type="spellEnd"/>
      <w:r w:rsidRPr="00FC5717">
        <w:rPr>
          <w:rFonts w:ascii="Tahoma" w:hAnsi="Tahoma" w:cs="Tahoma"/>
          <w:color w:val="000000" w:themeColor="text1"/>
          <w:sz w:val="17"/>
          <w:szCs w:val="17"/>
        </w:rPr>
        <w:t xml:space="preserve"> </w:t>
      </w:r>
      <w:r w:rsidRPr="00FC5717">
        <w:rPr>
          <w:rFonts w:ascii="Calibri" w:hAnsi="Calibri" w:cs="Tahoma"/>
          <w:color w:val="000000" w:themeColor="text1"/>
          <w:sz w:val="20"/>
          <w:szCs w:val="20"/>
        </w:rPr>
        <w:t xml:space="preserve">(mobilní telefon, tablet, počítač, notebook). </w:t>
      </w:r>
      <w:r w:rsidRPr="00FC5717">
        <w:rPr>
          <w:rFonts w:ascii="Calibri" w:hAnsi="Calibri" w:cstheme="minorHAnsi"/>
          <w:sz w:val="20"/>
          <w:szCs w:val="20"/>
        </w:rPr>
        <w:t xml:space="preserve">Každé koncové zařízení (STBX, Smart TV, zařízení second </w:t>
      </w:r>
      <w:proofErr w:type="spellStart"/>
      <w:r w:rsidRPr="00FC5717">
        <w:rPr>
          <w:rFonts w:ascii="Calibri" w:hAnsi="Calibri" w:cstheme="minorHAnsi"/>
          <w:sz w:val="20"/>
          <w:szCs w:val="20"/>
        </w:rPr>
        <w:t>screen</w:t>
      </w:r>
      <w:proofErr w:type="spellEnd"/>
      <w:r w:rsidRPr="00FC5717">
        <w:rPr>
          <w:rFonts w:ascii="Calibri" w:hAnsi="Calibri" w:cstheme="minorHAnsi"/>
          <w:sz w:val="20"/>
          <w:szCs w:val="20"/>
        </w:rPr>
        <w:t xml:space="preserve">), na kterém je aktivní provoz televizního vysílání, potřebuje pro zajištění funkčnosti služby datovou linku o kapacitě min. 4 </w:t>
      </w:r>
      <w:proofErr w:type="spellStart"/>
      <w:r w:rsidRPr="00FC5717">
        <w:rPr>
          <w:rFonts w:ascii="Calibri" w:hAnsi="Calibri" w:cstheme="minorHAnsi"/>
          <w:sz w:val="20"/>
          <w:szCs w:val="20"/>
        </w:rPr>
        <w:t>Mb</w:t>
      </w:r>
      <w:proofErr w:type="spellEnd"/>
      <w:r w:rsidRPr="00FC5717">
        <w:rPr>
          <w:rFonts w:ascii="Calibri" w:hAnsi="Calibri" w:cstheme="minorHAnsi"/>
          <w:sz w:val="20"/>
          <w:szCs w:val="20"/>
        </w:rPr>
        <w:t xml:space="preserve">/s. Tj. o tuto hodnotu se v případě provozu televizního vysílání na každém koncovém zařízení sníží rychlost internetového připojení (tj. v případě současného připojení 2 koncových zařízení klesne rychlost připojení o cca 8 </w:t>
      </w:r>
      <w:proofErr w:type="spellStart"/>
      <w:r w:rsidRPr="00FC5717">
        <w:rPr>
          <w:rFonts w:ascii="Calibri" w:hAnsi="Calibri" w:cstheme="minorHAnsi"/>
          <w:sz w:val="20"/>
          <w:szCs w:val="20"/>
        </w:rPr>
        <w:t>Mb</w:t>
      </w:r>
      <w:proofErr w:type="spellEnd"/>
      <w:r w:rsidRPr="00FC5717">
        <w:rPr>
          <w:rFonts w:ascii="Calibri" w:hAnsi="Calibri" w:cstheme="minorHAnsi"/>
          <w:sz w:val="20"/>
          <w:szCs w:val="20"/>
        </w:rPr>
        <w:t xml:space="preserve">/s, v případě připojení 3 koncových zařízení o cca 12 Mb/s atd.). </w:t>
      </w:r>
    </w:p>
    <w:p w14:paraId="4EED4654" w14:textId="77777777" w:rsidR="002F4229" w:rsidRPr="00FC5717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</w:p>
    <w:p w14:paraId="7FAFE4DF" w14:textId="77777777" w:rsidR="002F4229" w:rsidRPr="00FC5717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  <w:r w:rsidRPr="00FC5717">
        <w:rPr>
          <w:rFonts w:ascii="Calibri" w:hAnsi="Calibri" w:cstheme="minorHAnsi"/>
          <w:sz w:val="20"/>
          <w:szCs w:val="20"/>
        </w:rPr>
        <w:t xml:space="preserve">Pro balíčky služeb </w:t>
      </w:r>
      <w:r w:rsidRPr="00FC5717">
        <w:rPr>
          <w:rFonts w:ascii="Calibri" w:hAnsi="Calibri" w:cstheme="minorHAnsi"/>
          <w:b/>
          <w:sz w:val="20"/>
          <w:szCs w:val="20"/>
        </w:rPr>
        <w:t xml:space="preserve">Wi-Fi </w:t>
      </w:r>
      <w:r>
        <w:rPr>
          <w:rFonts w:ascii="Calibri" w:hAnsi="Calibri" w:cstheme="minorHAnsi"/>
          <w:b/>
          <w:sz w:val="20"/>
          <w:szCs w:val="20"/>
        </w:rPr>
        <w:t>5</w:t>
      </w:r>
      <w:r w:rsidRPr="00FC5717">
        <w:rPr>
          <w:rFonts w:ascii="Calibri" w:hAnsi="Calibri" w:cstheme="minorHAnsi"/>
          <w:b/>
          <w:sz w:val="20"/>
          <w:szCs w:val="20"/>
        </w:rPr>
        <w:t xml:space="preserve">0 Mb/s + TV Standard, Wi-Fi </w:t>
      </w:r>
      <w:r>
        <w:rPr>
          <w:rFonts w:ascii="Calibri" w:hAnsi="Calibri" w:cstheme="minorHAnsi"/>
          <w:b/>
          <w:sz w:val="20"/>
          <w:szCs w:val="20"/>
        </w:rPr>
        <w:t>5</w:t>
      </w:r>
      <w:r w:rsidRPr="00FC5717">
        <w:rPr>
          <w:rFonts w:ascii="Calibri" w:hAnsi="Calibri" w:cstheme="minorHAnsi"/>
          <w:b/>
          <w:sz w:val="20"/>
          <w:szCs w:val="20"/>
        </w:rPr>
        <w:t xml:space="preserve">0 Mb/s + TV Start a Wi-Fi </w:t>
      </w:r>
      <w:r>
        <w:rPr>
          <w:rFonts w:ascii="Calibri" w:hAnsi="Calibri" w:cstheme="minorHAnsi"/>
          <w:b/>
          <w:sz w:val="20"/>
          <w:szCs w:val="20"/>
        </w:rPr>
        <w:t>5</w:t>
      </w:r>
      <w:r w:rsidRPr="00FC5717">
        <w:rPr>
          <w:rFonts w:ascii="Calibri" w:hAnsi="Calibri" w:cstheme="minorHAnsi"/>
          <w:b/>
          <w:sz w:val="20"/>
          <w:szCs w:val="20"/>
        </w:rPr>
        <w:t xml:space="preserve">0 Mb/s + TV Smart </w:t>
      </w:r>
      <w:r w:rsidRPr="00FC5717">
        <w:rPr>
          <w:rFonts w:ascii="Calibri" w:hAnsi="Calibri" w:cstheme="minorHAnsi"/>
          <w:sz w:val="20"/>
          <w:szCs w:val="20"/>
        </w:rPr>
        <w:t xml:space="preserve">poskytovatel garantuje provoz, tedy dostupnost služby </w:t>
      </w:r>
      <w:r w:rsidRPr="00FC5717">
        <w:rPr>
          <w:rFonts w:ascii="Calibri" w:hAnsi="Calibri" w:cs="Tahoma"/>
          <w:sz w:val="20"/>
          <w:szCs w:val="20"/>
        </w:rPr>
        <w:t xml:space="preserve">digitálního televizního vysílání (v rozsahu dle Smlouvy) </w:t>
      </w:r>
      <w:r w:rsidRPr="00FC5717">
        <w:rPr>
          <w:rFonts w:ascii="Calibri" w:hAnsi="Calibri" w:cstheme="minorHAnsi"/>
          <w:sz w:val="20"/>
          <w:szCs w:val="20"/>
        </w:rPr>
        <w:t xml:space="preserve">prostřednictvím 1 koncového zařízení, případně prostřednictvím jednoho dalšího STBX v případě, že se Smlouvou zavázal k jeho prodeji či pronájmu v souvislosti se současným poskytováním služby digitálního televizního vysílání. Současný provoz dalších zařízení second </w:t>
      </w:r>
      <w:proofErr w:type="spellStart"/>
      <w:r w:rsidRPr="00FC5717">
        <w:rPr>
          <w:rFonts w:ascii="Calibri" w:hAnsi="Calibri" w:cstheme="minorHAnsi"/>
          <w:sz w:val="20"/>
          <w:szCs w:val="20"/>
        </w:rPr>
        <w:t>screen</w:t>
      </w:r>
      <w:proofErr w:type="spellEnd"/>
      <w:r w:rsidRPr="00FC5717">
        <w:rPr>
          <w:rFonts w:ascii="Calibri" w:hAnsi="Calibri" w:cstheme="minorHAnsi"/>
          <w:sz w:val="20"/>
          <w:szCs w:val="20"/>
        </w:rPr>
        <w:t xml:space="preserve"> není garantován. </w:t>
      </w:r>
    </w:p>
    <w:p w14:paraId="19EC2F7B" w14:textId="77777777" w:rsidR="002F4229" w:rsidRPr="00FC5717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</w:p>
    <w:p w14:paraId="14E64DE3" w14:textId="77777777" w:rsidR="002F4229" w:rsidRPr="00CA5D3D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  <w:r w:rsidRPr="00FC5717">
        <w:rPr>
          <w:rFonts w:ascii="Calibri" w:hAnsi="Calibri" w:cstheme="minorHAnsi"/>
          <w:sz w:val="20"/>
          <w:szCs w:val="20"/>
        </w:rPr>
        <w:t xml:space="preserve">Konkrétní snížení rychlosti internetu je dáno počtem připojených koncových zařízení. </w:t>
      </w:r>
      <w:r w:rsidRPr="00FC5717">
        <w:rPr>
          <w:rFonts w:ascii="Calibri" w:hAnsi="Calibri" w:cs="Calibri"/>
          <w:sz w:val="20"/>
          <w:szCs w:val="20"/>
        </w:rPr>
        <w:t xml:space="preserve">V důsledku snížení rychlosti připojení pak může dojít např. ke </w:t>
      </w:r>
      <w:r w:rsidRPr="00FC5717">
        <w:rPr>
          <w:rFonts w:ascii="Calibri" w:hAnsi="Calibri" w:cs="Calibri"/>
          <w:sz w:val="20"/>
          <w:szCs w:val="20"/>
          <w:lang w:eastAsia="cs-CZ"/>
        </w:rPr>
        <w:t>zpomalení načítání video obsahu, rastrování obrazu</w:t>
      </w:r>
      <w:r w:rsidRPr="00CA5D3D">
        <w:rPr>
          <w:rFonts w:ascii="Calibri" w:hAnsi="Calibri" w:cs="Calibri"/>
          <w:sz w:val="20"/>
          <w:szCs w:val="20"/>
          <w:lang w:eastAsia="cs-CZ"/>
        </w:rPr>
        <w:t xml:space="preserve"> (kostičkování), automatickému snížení rozlišení videa, prodloužení doby stahování či odesílání objemných souborů či elektronické pošty, zpomalení načítání webových stránek, zhoršení </w:t>
      </w:r>
      <w:r w:rsidRPr="00CA5D3D">
        <w:rPr>
          <w:rFonts w:ascii="Calibri" w:hAnsi="Calibri" w:cs="Calibri"/>
          <w:sz w:val="20"/>
          <w:szCs w:val="20"/>
          <w:lang w:eastAsia="cs-CZ"/>
        </w:rPr>
        <w:lastRenderedPageBreak/>
        <w:t xml:space="preserve">kvality obrazu a zvuku </w:t>
      </w:r>
      <w:proofErr w:type="spellStart"/>
      <w:r w:rsidRPr="00CA5D3D">
        <w:rPr>
          <w:rFonts w:ascii="Calibri" w:hAnsi="Calibri" w:cs="Calibri"/>
          <w:sz w:val="20"/>
          <w:szCs w:val="20"/>
          <w:lang w:eastAsia="cs-CZ"/>
        </w:rPr>
        <w:t>real</w:t>
      </w:r>
      <w:proofErr w:type="spellEnd"/>
      <w:r w:rsidRPr="00CA5D3D">
        <w:rPr>
          <w:rFonts w:ascii="Calibri" w:hAnsi="Calibri" w:cs="Calibri"/>
          <w:sz w:val="20"/>
          <w:szCs w:val="20"/>
          <w:lang w:eastAsia="cs-CZ"/>
        </w:rPr>
        <w:t xml:space="preserve"> </w:t>
      </w:r>
      <w:proofErr w:type="spellStart"/>
      <w:r w:rsidRPr="00CA5D3D">
        <w:rPr>
          <w:rFonts w:ascii="Calibri" w:hAnsi="Calibri" w:cs="Calibri"/>
          <w:sz w:val="20"/>
          <w:szCs w:val="20"/>
          <w:lang w:eastAsia="cs-CZ"/>
        </w:rPr>
        <w:t>time</w:t>
      </w:r>
      <w:proofErr w:type="spellEnd"/>
      <w:r w:rsidRPr="00CA5D3D">
        <w:rPr>
          <w:rFonts w:ascii="Calibri" w:hAnsi="Calibri" w:cs="Calibri"/>
          <w:sz w:val="20"/>
          <w:szCs w:val="20"/>
          <w:lang w:eastAsia="cs-CZ"/>
        </w:rPr>
        <w:t xml:space="preserve"> komunikátorů (Skype, Facebook, Instagram a další).</w:t>
      </w:r>
      <w:r w:rsidRPr="00CA5D3D">
        <w:rPr>
          <w:rFonts w:ascii="Calibri" w:hAnsi="Calibri" w:cstheme="minorHAnsi"/>
          <w:sz w:val="20"/>
          <w:szCs w:val="20"/>
        </w:rPr>
        <w:t xml:space="preserve"> Počet </w:t>
      </w:r>
      <w:r>
        <w:rPr>
          <w:rFonts w:ascii="Calibri" w:hAnsi="Calibri" w:cstheme="minorHAnsi"/>
          <w:sz w:val="20"/>
          <w:szCs w:val="20"/>
        </w:rPr>
        <w:t xml:space="preserve">poskytovatelem dodaných </w:t>
      </w:r>
      <w:r w:rsidRPr="00CA5D3D">
        <w:rPr>
          <w:rFonts w:ascii="Calibri" w:hAnsi="Calibri" w:cstheme="minorHAnsi"/>
          <w:sz w:val="20"/>
          <w:szCs w:val="20"/>
        </w:rPr>
        <w:t>STBX bude uveden v předávacím protokolu, který je součástí Smlouvy.</w:t>
      </w:r>
    </w:p>
    <w:p w14:paraId="6246CCE3" w14:textId="77777777" w:rsidR="002F4229" w:rsidRPr="00CA5D3D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</w:p>
    <w:p w14:paraId="512F0EFC" w14:textId="77777777" w:rsidR="002F4229" w:rsidRPr="00FC5717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  <w:r w:rsidRPr="00FC5717">
        <w:rPr>
          <w:rFonts w:ascii="Calibri" w:hAnsi="Calibri" w:cstheme="minorHAnsi"/>
          <w:sz w:val="20"/>
          <w:szCs w:val="20"/>
        </w:rPr>
        <w:t xml:space="preserve">Z důvodu širokého spektra zařízení second </w:t>
      </w:r>
      <w:proofErr w:type="spellStart"/>
      <w:r w:rsidRPr="00FC5717">
        <w:rPr>
          <w:rFonts w:ascii="Calibri" w:hAnsi="Calibri" w:cstheme="minorHAnsi"/>
          <w:sz w:val="20"/>
          <w:szCs w:val="20"/>
        </w:rPr>
        <w:t>screen</w:t>
      </w:r>
      <w:proofErr w:type="spellEnd"/>
      <w:r w:rsidRPr="00FC5717">
        <w:rPr>
          <w:rFonts w:ascii="Calibri" w:hAnsi="Calibri" w:cstheme="minorHAnsi"/>
          <w:sz w:val="20"/>
          <w:szCs w:val="20"/>
        </w:rPr>
        <w:t xml:space="preserve"> a jejich technických parametrů (mobilní telefon, tablet, počítač, notebook) poskytovatel není schopen garantovat prostřednictvím těchto zařízení funkčnost služby televizního vysílání. Připojení zařízení second </w:t>
      </w:r>
      <w:proofErr w:type="spellStart"/>
      <w:r w:rsidRPr="00FC5717">
        <w:rPr>
          <w:rFonts w:ascii="Calibri" w:hAnsi="Calibri" w:cstheme="minorHAnsi"/>
          <w:sz w:val="20"/>
          <w:szCs w:val="20"/>
        </w:rPr>
        <w:t>screen</w:t>
      </w:r>
      <w:proofErr w:type="spellEnd"/>
      <w:r w:rsidRPr="00FC5717">
        <w:rPr>
          <w:rFonts w:ascii="Calibri" w:hAnsi="Calibri" w:cstheme="minorHAnsi"/>
          <w:sz w:val="20"/>
          <w:szCs w:val="20"/>
        </w:rPr>
        <w:t xml:space="preserve"> lze aktivovat v klientském účtu na URL adrese https://sledovanitv.cz/.</w:t>
      </w:r>
    </w:p>
    <w:p w14:paraId="155EB051" w14:textId="77777777" w:rsidR="002F4229" w:rsidRPr="00FC5717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</w:p>
    <w:p w14:paraId="6C9ED3F0" w14:textId="77777777" w:rsidR="002F4229" w:rsidRPr="00FC5717" w:rsidRDefault="002F4229" w:rsidP="002F4229">
      <w:pPr>
        <w:autoSpaceDE w:val="0"/>
        <w:autoSpaceDN w:val="0"/>
        <w:adjustRightInd w:val="0"/>
        <w:jc w:val="both"/>
        <w:rPr>
          <w:rFonts w:ascii="Calibri" w:hAnsi="Calibri" w:cstheme="minorHAnsi"/>
          <w:b/>
          <w:sz w:val="20"/>
          <w:szCs w:val="20"/>
        </w:rPr>
      </w:pPr>
      <w:r w:rsidRPr="00FC5717">
        <w:rPr>
          <w:rFonts w:ascii="Calibri" w:hAnsi="Calibri" w:cstheme="minorHAnsi"/>
          <w:b/>
          <w:sz w:val="20"/>
          <w:szCs w:val="20"/>
        </w:rPr>
        <w:t>Doplňující podmínky pro užívání služby:</w:t>
      </w:r>
    </w:p>
    <w:p w14:paraId="24358717" w14:textId="77777777" w:rsidR="002F4229" w:rsidRPr="00CA5D3D" w:rsidRDefault="002F4229" w:rsidP="002F4229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  <w:r w:rsidRPr="00FC5717">
        <w:rPr>
          <w:rFonts w:ascii="Calibri" w:hAnsi="Calibri" w:cstheme="minorHAnsi"/>
          <w:sz w:val="20"/>
          <w:szCs w:val="20"/>
        </w:rPr>
        <w:t>Účastníkovi je zakázán průnik do jiných datových sítí či služeb, pro které nemá oprávnění k přístupu nebo k jejich užívání. Dále má účastník povinnost zdržet se jakýchkoliv jednání porušujících etická pravidla chování na síti</w:t>
      </w:r>
      <w:r w:rsidRPr="00CA5D3D">
        <w:rPr>
          <w:rFonts w:ascii="Calibri" w:hAnsi="Calibri" w:cstheme="minorHAnsi"/>
          <w:sz w:val="20"/>
          <w:szCs w:val="20"/>
        </w:rPr>
        <w:t xml:space="preserve"> internet, zejména nesmí zasílat prostřednictvím elektronické pošty nevyžádané hromadné zprávy (tzv. </w:t>
      </w:r>
      <w:proofErr w:type="spellStart"/>
      <w:r w:rsidRPr="00CA5D3D">
        <w:rPr>
          <w:rFonts w:ascii="Calibri" w:hAnsi="Calibri" w:cstheme="minorHAnsi"/>
          <w:sz w:val="20"/>
          <w:szCs w:val="20"/>
        </w:rPr>
        <w:t>spamming</w:t>
      </w:r>
      <w:proofErr w:type="spellEnd"/>
      <w:r w:rsidRPr="00CA5D3D">
        <w:rPr>
          <w:rFonts w:ascii="Calibri" w:hAnsi="Calibri" w:cstheme="minorHAnsi"/>
          <w:sz w:val="20"/>
          <w:szCs w:val="20"/>
        </w:rPr>
        <w:t xml:space="preserve">), </w:t>
      </w:r>
      <w:proofErr w:type="spellStart"/>
      <w:r w:rsidRPr="00CA5D3D">
        <w:rPr>
          <w:rFonts w:ascii="Calibri" w:hAnsi="Calibri" w:cstheme="minorHAnsi"/>
          <w:sz w:val="20"/>
          <w:szCs w:val="20"/>
        </w:rPr>
        <w:t>scanování</w:t>
      </w:r>
      <w:proofErr w:type="spellEnd"/>
      <w:r w:rsidRPr="00CA5D3D">
        <w:rPr>
          <w:rFonts w:ascii="Calibri" w:hAnsi="Calibri" w:cstheme="minorHAnsi"/>
          <w:sz w:val="20"/>
          <w:szCs w:val="20"/>
        </w:rPr>
        <w:t xml:space="preserve"> portů, zneužívání cizích identit apod.</w:t>
      </w:r>
    </w:p>
    <w:p w14:paraId="348C3C39" w14:textId="77777777" w:rsidR="002F4229" w:rsidRPr="00CA5D3D" w:rsidRDefault="002F4229" w:rsidP="002F4229">
      <w:pPr>
        <w:jc w:val="both"/>
        <w:rPr>
          <w:rFonts w:ascii="Calibri" w:hAnsi="Calibri" w:cstheme="minorHAnsi"/>
          <w:sz w:val="20"/>
          <w:szCs w:val="20"/>
        </w:rPr>
      </w:pPr>
    </w:p>
    <w:p w14:paraId="02EF1966" w14:textId="77777777" w:rsidR="002F4229" w:rsidRPr="00CA5D3D" w:rsidRDefault="002F4229" w:rsidP="002F4229">
      <w:pPr>
        <w:autoSpaceDE w:val="0"/>
        <w:autoSpaceDN w:val="0"/>
        <w:adjustRightInd w:val="0"/>
        <w:jc w:val="both"/>
        <w:rPr>
          <w:rFonts w:ascii="Calibri" w:hAnsi="Calibri" w:cstheme="minorHAnsi"/>
          <w:b/>
          <w:sz w:val="20"/>
          <w:szCs w:val="20"/>
        </w:rPr>
      </w:pPr>
      <w:r w:rsidRPr="00CA5D3D">
        <w:rPr>
          <w:rFonts w:ascii="Calibri" w:hAnsi="Calibri" w:cstheme="minorHAnsi"/>
          <w:b/>
          <w:sz w:val="20"/>
          <w:szCs w:val="20"/>
        </w:rPr>
        <w:t>Doplňující informace:</w:t>
      </w:r>
    </w:p>
    <w:p w14:paraId="0BE9C28F" w14:textId="77777777" w:rsidR="001820EA" w:rsidRPr="001820EA" w:rsidRDefault="001820EA" w:rsidP="001820E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820EA">
        <w:rPr>
          <w:rFonts w:asciiTheme="minorHAnsi" w:hAnsiTheme="minorHAnsi" w:cstheme="minorHAnsi"/>
          <w:sz w:val="20"/>
          <w:szCs w:val="20"/>
        </w:rPr>
        <w:t>Poskytovatel může v případech definovaných nařízením použít prostředky přiměřeného řízení provozu, případně blokovat, omezit nebo zamezit přístup ke službě.</w:t>
      </w:r>
    </w:p>
    <w:p w14:paraId="21D9AEAF" w14:textId="77777777" w:rsidR="001820EA" w:rsidRPr="001820EA" w:rsidRDefault="001820EA" w:rsidP="001820E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1820EA">
        <w:rPr>
          <w:rFonts w:asciiTheme="minorHAnsi" w:hAnsiTheme="minorHAnsi" w:cstheme="minorHAnsi"/>
          <w:sz w:val="20"/>
          <w:szCs w:val="20"/>
        </w:rPr>
        <w:t>Tato technická specifikace</w:t>
      </w:r>
      <w:r w:rsidRPr="001820EA">
        <w:rPr>
          <w:rFonts w:asciiTheme="minorHAnsi" w:hAnsiTheme="minorHAnsi" w:cstheme="minorHAnsi"/>
          <w:b/>
          <w:bCs/>
          <w:sz w:val="20"/>
          <w:szCs w:val="20"/>
        </w:rPr>
        <w:t xml:space="preserve"> mění a upřesňuje pojmů uvedených v čl. II. Odst. 21. a 22. VOP (Velká trvající odchylka a Velká opakující se odchylka) </w:t>
      </w:r>
      <w:r w:rsidRPr="001820EA">
        <w:rPr>
          <w:rFonts w:asciiTheme="minorHAnsi" w:hAnsiTheme="minorHAnsi" w:cstheme="minorHAnsi"/>
          <w:sz w:val="20"/>
          <w:szCs w:val="20"/>
        </w:rPr>
        <w:t>dle znění všeobecného oprávnění č. VO-S/1/08.2020-9 účinného od 1.1.2021 takto:</w:t>
      </w:r>
    </w:p>
    <w:p w14:paraId="370F3509" w14:textId="77777777" w:rsidR="001820EA" w:rsidRPr="001820EA" w:rsidRDefault="001820EA" w:rsidP="001820E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820EA">
        <w:rPr>
          <w:rFonts w:asciiTheme="minorHAnsi" w:hAnsiTheme="minorHAnsi" w:cstheme="minorHAnsi"/>
          <w:sz w:val="20"/>
          <w:szCs w:val="20"/>
        </w:rPr>
        <w:t xml:space="preserve">Za </w:t>
      </w:r>
      <w:r w:rsidRPr="001820EA">
        <w:rPr>
          <w:rFonts w:asciiTheme="minorHAnsi" w:hAnsiTheme="minorHAnsi" w:cstheme="minorHAnsi"/>
          <w:b/>
          <w:bCs/>
          <w:sz w:val="20"/>
          <w:szCs w:val="20"/>
          <w:u w:val="single"/>
        </w:rPr>
        <w:t>velkou trvající odchylku</w:t>
      </w:r>
      <w:r w:rsidRPr="001820E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1820EA">
        <w:rPr>
          <w:rFonts w:asciiTheme="minorHAnsi" w:hAnsiTheme="minorHAnsi" w:cstheme="minorHAnsi"/>
          <w:sz w:val="20"/>
          <w:szCs w:val="20"/>
        </w:rPr>
        <w:t>od běžně dostupné rychlosti stahování (</w:t>
      </w:r>
      <w:proofErr w:type="spellStart"/>
      <w:r w:rsidRPr="001820EA">
        <w:rPr>
          <w:rFonts w:asciiTheme="minorHAnsi" w:hAnsiTheme="minorHAnsi" w:cstheme="minorHAnsi"/>
          <w:sz w:val="20"/>
          <w:szCs w:val="20"/>
        </w:rPr>
        <w:t>download</w:t>
      </w:r>
      <w:proofErr w:type="spellEnd"/>
      <w:r w:rsidRPr="001820EA">
        <w:rPr>
          <w:rFonts w:asciiTheme="minorHAnsi" w:hAnsiTheme="minorHAnsi" w:cstheme="minorHAnsi"/>
          <w:sz w:val="20"/>
          <w:szCs w:val="20"/>
        </w:rPr>
        <w:t xml:space="preserve">) nebo vkládání (upload) dat se považuje taková odchylka, která vytváří souvislý pokles výkonu služby přístupu k internetu, tj. pokles skutečně dosahované rychlosti definovanou hodnotu běžně dostupné rychlosti </w:t>
      </w:r>
      <w:r w:rsidRPr="001820EA">
        <w:rPr>
          <w:rFonts w:asciiTheme="minorHAnsi" w:hAnsiTheme="minorHAnsi" w:cstheme="minorHAnsi"/>
          <w:b/>
          <w:bCs/>
          <w:sz w:val="20"/>
          <w:szCs w:val="20"/>
        </w:rPr>
        <w:t>v intervalu delším než 70 minut</w:t>
      </w:r>
      <w:r w:rsidRPr="001820EA">
        <w:rPr>
          <w:rFonts w:asciiTheme="minorHAnsi" w:hAnsiTheme="minorHAnsi" w:cstheme="minorHAnsi"/>
          <w:sz w:val="20"/>
          <w:szCs w:val="20"/>
        </w:rPr>
        <w:t>.</w:t>
      </w:r>
    </w:p>
    <w:p w14:paraId="5D725C5B" w14:textId="77777777" w:rsidR="001820EA" w:rsidRPr="001820EA" w:rsidRDefault="001820EA" w:rsidP="001820E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820EA">
        <w:rPr>
          <w:rFonts w:asciiTheme="minorHAnsi" w:hAnsiTheme="minorHAnsi" w:cstheme="minorHAnsi"/>
          <w:sz w:val="20"/>
          <w:szCs w:val="20"/>
        </w:rPr>
        <w:t xml:space="preserve">Za </w:t>
      </w:r>
      <w:r w:rsidRPr="001820EA">
        <w:rPr>
          <w:rFonts w:asciiTheme="minorHAnsi" w:hAnsiTheme="minorHAnsi" w:cstheme="minorHAnsi"/>
          <w:b/>
          <w:bCs/>
          <w:sz w:val="20"/>
          <w:szCs w:val="20"/>
          <w:u w:val="single"/>
        </w:rPr>
        <w:t>velkou opakující se odchylku</w:t>
      </w:r>
      <w:r w:rsidRPr="001820EA">
        <w:rPr>
          <w:rFonts w:asciiTheme="minorHAnsi" w:hAnsiTheme="minorHAnsi" w:cstheme="minorHAnsi"/>
          <w:sz w:val="20"/>
          <w:szCs w:val="20"/>
        </w:rPr>
        <w:t xml:space="preserve"> od běžně dostupné rychlosti stahování (</w:t>
      </w:r>
      <w:proofErr w:type="spellStart"/>
      <w:r w:rsidRPr="001820EA">
        <w:rPr>
          <w:rFonts w:asciiTheme="minorHAnsi" w:hAnsiTheme="minorHAnsi" w:cstheme="minorHAnsi"/>
          <w:sz w:val="20"/>
          <w:szCs w:val="20"/>
        </w:rPr>
        <w:t>download</w:t>
      </w:r>
      <w:proofErr w:type="spellEnd"/>
      <w:r w:rsidRPr="001820EA">
        <w:rPr>
          <w:rFonts w:asciiTheme="minorHAnsi" w:hAnsiTheme="minorHAnsi" w:cstheme="minorHAnsi"/>
          <w:sz w:val="20"/>
          <w:szCs w:val="20"/>
        </w:rPr>
        <w:t xml:space="preserve">) nebo vkládání (upload) dat se považuje taková odchylka, při které dojde </w:t>
      </w:r>
      <w:r w:rsidRPr="001820EA">
        <w:rPr>
          <w:rFonts w:asciiTheme="minorHAnsi" w:hAnsiTheme="minorHAnsi" w:cstheme="minorHAnsi"/>
          <w:b/>
          <w:bCs/>
          <w:sz w:val="20"/>
          <w:szCs w:val="20"/>
        </w:rPr>
        <w:t>alespoň ke třem poklesům</w:t>
      </w:r>
      <w:r w:rsidRPr="001820EA">
        <w:rPr>
          <w:rFonts w:asciiTheme="minorHAnsi" w:hAnsiTheme="minorHAnsi" w:cstheme="minorHAnsi"/>
          <w:sz w:val="20"/>
          <w:szCs w:val="20"/>
        </w:rPr>
        <w:t xml:space="preserve"> skutečně dosahované rychlosti pod definovanou hodnotu běžně dostupné rychlosti </w:t>
      </w:r>
      <w:r w:rsidRPr="001820EA">
        <w:rPr>
          <w:rFonts w:asciiTheme="minorHAnsi" w:hAnsiTheme="minorHAnsi" w:cstheme="minorHAnsi"/>
          <w:b/>
          <w:bCs/>
          <w:sz w:val="20"/>
          <w:szCs w:val="20"/>
        </w:rPr>
        <w:t>v intervalu delším nebo rovno 3,5 minutám v časovém úseku 90 minut</w:t>
      </w:r>
      <w:r w:rsidRPr="001820EA">
        <w:rPr>
          <w:rFonts w:asciiTheme="minorHAnsi" w:hAnsiTheme="minorHAnsi" w:cstheme="minorHAnsi"/>
          <w:sz w:val="20"/>
          <w:szCs w:val="20"/>
        </w:rPr>
        <w:t>.</w:t>
      </w:r>
    </w:p>
    <w:p w14:paraId="074DF0D8" w14:textId="77777777" w:rsidR="001820EA" w:rsidRPr="001820EA" w:rsidRDefault="001820EA" w:rsidP="001820E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820EA">
        <w:rPr>
          <w:rFonts w:asciiTheme="minorHAnsi" w:hAnsiTheme="minorHAnsi" w:cstheme="minorHAnsi"/>
          <w:sz w:val="20"/>
          <w:szCs w:val="20"/>
        </w:rPr>
        <w:t xml:space="preserve">V případě, že nastane situace </w:t>
      </w:r>
      <w:r w:rsidRPr="001820EA">
        <w:rPr>
          <w:rFonts w:asciiTheme="minorHAnsi" w:hAnsiTheme="minorHAnsi" w:cstheme="minorHAnsi"/>
          <w:b/>
          <w:bCs/>
          <w:sz w:val="20"/>
          <w:szCs w:val="20"/>
        </w:rPr>
        <w:t>velké trvající odchylky</w:t>
      </w:r>
      <w:r w:rsidRPr="001820EA">
        <w:rPr>
          <w:rFonts w:asciiTheme="minorHAnsi" w:hAnsiTheme="minorHAnsi" w:cstheme="minorHAnsi"/>
          <w:sz w:val="20"/>
          <w:szCs w:val="20"/>
        </w:rPr>
        <w:t xml:space="preserve"> nebo </w:t>
      </w:r>
      <w:r w:rsidRPr="001820EA">
        <w:rPr>
          <w:rFonts w:asciiTheme="minorHAnsi" w:hAnsiTheme="minorHAnsi" w:cstheme="minorHAnsi"/>
          <w:b/>
          <w:bCs/>
          <w:sz w:val="20"/>
          <w:szCs w:val="20"/>
        </w:rPr>
        <w:t>velké opakující se odchylky</w:t>
      </w:r>
      <w:r w:rsidRPr="001820EA">
        <w:rPr>
          <w:rFonts w:asciiTheme="minorHAnsi" w:hAnsiTheme="minorHAnsi" w:cstheme="minorHAnsi"/>
          <w:sz w:val="20"/>
          <w:szCs w:val="20"/>
        </w:rPr>
        <w:t xml:space="preserve"> skutečného výkonu služby od výkonu inzerovaného, má účastník právo službu reklamovat dle platných právních předpisů, Řádu datových a telekomunikačních služeb a VOP poskytovatele.</w:t>
      </w:r>
    </w:p>
    <w:p w14:paraId="7280E9EE" w14:textId="77777777" w:rsidR="002F4229" w:rsidRPr="00FC5717" w:rsidRDefault="002F4229" w:rsidP="002F4229">
      <w:pPr>
        <w:autoSpaceDE w:val="0"/>
        <w:autoSpaceDN w:val="0"/>
        <w:adjustRightInd w:val="0"/>
        <w:jc w:val="both"/>
        <w:rPr>
          <w:rFonts w:ascii="Calibri" w:hAnsi="Calibri" w:cstheme="minorHAnsi"/>
          <w:sz w:val="20"/>
          <w:szCs w:val="20"/>
        </w:rPr>
      </w:pPr>
    </w:p>
    <w:p w14:paraId="569B495E" w14:textId="77777777" w:rsidR="002F4229" w:rsidRDefault="002F4229" w:rsidP="002F4229">
      <w:pPr>
        <w:jc w:val="both"/>
        <w:rPr>
          <w:rFonts w:ascii="Calibri" w:hAnsi="Calibri" w:cstheme="minorHAnsi"/>
          <w:i/>
          <w:sz w:val="20"/>
          <w:szCs w:val="20"/>
        </w:rPr>
      </w:pPr>
      <w:r w:rsidRPr="00FC5717">
        <w:rPr>
          <w:rFonts w:ascii="Calibri" w:hAnsi="Calibri" w:cstheme="minorHAnsi"/>
          <w:i/>
          <w:sz w:val="20"/>
          <w:szCs w:val="20"/>
        </w:rPr>
        <w:t>Poskytovatelem převzatého televizního vysílání je společnost sledovanitv.cz s.r.o., IČO: 01607910, spisová značka: C 78732 vedená u Krajského soudu v Brně, se sídlem U vodárny 3032/</w:t>
      </w:r>
      <w:proofErr w:type="gramStart"/>
      <w:r w:rsidRPr="00FC5717">
        <w:rPr>
          <w:rFonts w:ascii="Calibri" w:hAnsi="Calibri" w:cstheme="minorHAnsi"/>
          <w:i/>
          <w:sz w:val="20"/>
          <w:szCs w:val="20"/>
        </w:rPr>
        <w:t>2a</w:t>
      </w:r>
      <w:proofErr w:type="gramEnd"/>
      <w:r w:rsidRPr="00FC5717">
        <w:rPr>
          <w:rFonts w:ascii="Calibri" w:hAnsi="Calibri" w:cstheme="minorHAnsi"/>
          <w:i/>
          <w:sz w:val="20"/>
          <w:szCs w:val="20"/>
        </w:rPr>
        <w:t>, 616 00, Brno - Královo Pole.</w:t>
      </w:r>
    </w:p>
    <w:p w14:paraId="281593DE" w14:textId="698490FF" w:rsidR="00653624" w:rsidRDefault="00653624" w:rsidP="009B5D01"/>
    <w:p w14:paraId="5ED66917" w14:textId="3B7C727F" w:rsidR="000647FA" w:rsidRPr="004C6937" w:rsidRDefault="0004570A" w:rsidP="004C6937">
      <w:pPr>
        <w:jc w:val="center"/>
        <w:rPr>
          <w:rFonts w:cstheme="minorHAnsi"/>
          <w:sz w:val="20"/>
          <w:szCs w:val="20"/>
        </w:rPr>
      </w:pPr>
      <w:r w:rsidRPr="002A6A4F">
        <w:rPr>
          <w:rFonts w:cstheme="minorHAnsi"/>
          <w:sz w:val="20"/>
          <w:szCs w:val="20"/>
        </w:rPr>
        <w:t>EDERA Group a.s.</w:t>
      </w:r>
    </w:p>
    <w:sectPr w:rsidR="000647FA" w:rsidRPr="004C6937" w:rsidSect="00C756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410" w:right="567" w:bottom="1417" w:left="851" w:header="2551" w:footer="227" w:gutter="0"/>
      <w:cols w:space="19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17001" w14:textId="77777777" w:rsidR="00BD25EE" w:rsidRDefault="00BD25EE" w:rsidP="00FA2535">
      <w:r>
        <w:separator/>
      </w:r>
    </w:p>
  </w:endnote>
  <w:endnote w:type="continuationSeparator" w:id="0">
    <w:p w14:paraId="602ED307" w14:textId="77777777" w:rsidR="00BD25EE" w:rsidRDefault="00BD25EE" w:rsidP="00FA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TEE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7C512" w14:textId="77777777" w:rsidR="00B248C6" w:rsidRDefault="00B248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71066" w14:textId="77777777" w:rsidR="00D86B9F" w:rsidRDefault="00D86B9F" w:rsidP="00D86B9F">
    <w:pPr>
      <w:pStyle w:val="Zpat"/>
    </w:pPr>
  </w:p>
  <w:p w14:paraId="0EFCF0A6" w14:textId="77777777" w:rsidR="00D86B9F" w:rsidRDefault="00D86B9F" w:rsidP="00D86B9F">
    <w:pPr>
      <w:pStyle w:val="Zpat"/>
    </w:pPr>
  </w:p>
  <w:tbl>
    <w:tblPr>
      <w:tblStyle w:val="Mkatabulky"/>
      <w:tblW w:w="8786" w:type="dxa"/>
      <w:tblInd w:w="5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2409"/>
      <w:gridCol w:w="3118"/>
    </w:tblGrid>
    <w:tr w:rsidR="00190188" w14:paraId="1E5739CD" w14:textId="77777777" w:rsidTr="0034090A">
      <w:trPr>
        <w:trHeight w:val="557"/>
      </w:trPr>
      <w:tc>
        <w:tcPr>
          <w:tcW w:w="3259" w:type="dxa"/>
        </w:tcPr>
        <w:p w14:paraId="18A8D0BF" w14:textId="77777777" w:rsidR="00D86B9F" w:rsidRPr="001E1EC7" w:rsidRDefault="00D86B9F" w:rsidP="00D86B9F">
          <w:pPr>
            <w:pStyle w:val="Zhlav"/>
            <w:rPr>
              <w:rFonts w:ascii="Source Sans Pro" w:hAnsi="Source Sans Pro"/>
              <w:b/>
            </w:rPr>
          </w:pPr>
          <w:r w:rsidRPr="001E1EC7">
            <w:rPr>
              <w:rFonts w:ascii="Source Sans Pro" w:hAnsi="Source Sans Pro"/>
              <w:b/>
            </w:rPr>
            <w:t>EDERA Group a.s.</w:t>
          </w:r>
        </w:p>
        <w:p w14:paraId="1F5CEAF5" w14:textId="77777777" w:rsidR="00D86B9F" w:rsidRPr="001E1EC7" w:rsidRDefault="00D86B9F" w:rsidP="00D86B9F">
          <w:pPr>
            <w:pStyle w:val="Zhlav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 xml:space="preserve">Arnošta z Pardubic 2789 </w:t>
          </w:r>
        </w:p>
        <w:p w14:paraId="4AAE7BFD" w14:textId="77777777" w:rsidR="00D86B9F" w:rsidRPr="001E1EC7" w:rsidRDefault="00D86B9F" w:rsidP="00D86B9F">
          <w:pPr>
            <w:pStyle w:val="Zhlav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>53002 Pardubice</w:t>
          </w:r>
        </w:p>
        <w:p w14:paraId="22D78196" w14:textId="77777777" w:rsidR="00D86B9F" w:rsidRDefault="00D86B9F" w:rsidP="00D86B9F">
          <w:pPr>
            <w:pStyle w:val="Zhlav"/>
            <w:ind w:right="-285"/>
            <w:rPr>
              <w:rFonts w:ascii="Source Sans Pro" w:hAnsi="Source Sans Pro"/>
            </w:rPr>
          </w:pPr>
        </w:p>
      </w:tc>
      <w:tc>
        <w:tcPr>
          <w:tcW w:w="2409" w:type="dxa"/>
        </w:tcPr>
        <w:p w14:paraId="409327D1" w14:textId="77777777" w:rsidR="005C3186" w:rsidRDefault="00BD25EE" w:rsidP="005C3186">
          <w:pPr>
            <w:pStyle w:val="Zhlav"/>
            <w:rPr>
              <w:rFonts w:ascii="Source Sans Pro" w:hAnsi="Source Sans Pro"/>
            </w:rPr>
          </w:pPr>
          <w:hyperlink r:id="rId1" w:history="1">
            <w:r w:rsidR="005C3186" w:rsidRPr="001E1EC7">
              <w:rPr>
                <w:rStyle w:val="Hypertextovodkaz"/>
                <w:rFonts w:ascii="Source Sans Pro" w:hAnsi="Source Sans Pro"/>
                <w:b/>
                <w:color w:val="F7461C"/>
                <w:u w:val="none"/>
              </w:rPr>
              <w:t>www.edera.cz</w:t>
            </w:r>
          </w:hyperlink>
        </w:p>
        <w:p w14:paraId="686B4BF9" w14:textId="77777777" w:rsidR="005C3186" w:rsidRPr="001E1EC7" w:rsidRDefault="005C3186" w:rsidP="005C3186">
          <w:pPr>
            <w:pStyle w:val="Zhlav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 xml:space="preserve">IČO 27461254 </w:t>
          </w:r>
        </w:p>
        <w:p w14:paraId="774E817F" w14:textId="77777777" w:rsidR="005C3186" w:rsidRPr="001E1EC7" w:rsidRDefault="005C3186" w:rsidP="005C3186">
          <w:pPr>
            <w:pStyle w:val="Zhlav"/>
            <w:rPr>
              <w:rFonts w:ascii="Source Sans Pro" w:hAnsi="Source Sans Pro"/>
            </w:rPr>
          </w:pPr>
          <w:r w:rsidRPr="001E1EC7">
            <w:rPr>
              <w:rFonts w:ascii="Source Sans Pro" w:hAnsi="Source Sans Pro"/>
            </w:rPr>
            <w:t>DIČ CZ27461254</w:t>
          </w:r>
        </w:p>
        <w:p w14:paraId="19CAD083" w14:textId="77777777" w:rsidR="00D86B9F" w:rsidRDefault="00D86B9F" w:rsidP="00D86B9F">
          <w:pPr>
            <w:pStyle w:val="Zhlav"/>
            <w:rPr>
              <w:rFonts w:ascii="Source Sans Pro" w:hAnsi="Source Sans Pro"/>
            </w:rPr>
          </w:pPr>
        </w:p>
      </w:tc>
      <w:tc>
        <w:tcPr>
          <w:tcW w:w="3118" w:type="dxa"/>
        </w:tcPr>
        <w:p w14:paraId="14ADF04F" w14:textId="77777777" w:rsidR="00110F87" w:rsidRDefault="00110F87" w:rsidP="00D86B9F">
          <w:pPr>
            <w:pStyle w:val="Zhlav"/>
            <w:ind w:right="-285"/>
            <w:rPr>
              <w:rFonts w:ascii="Source Sans Pro" w:hAnsi="Source Sans Pro"/>
            </w:rPr>
          </w:pPr>
        </w:p>
        <w:p w14:paraId="6FE8BB72" w14:textId="77777777" w:rsidR="005C3186" w:rsidRDefault="00110F87" w:rsidP="00D86B9F">
          <w:pPr>
            <w:pStyle w:val="Zhlav"/>
            <w:ind w:right="-285"/>
            <w:rPr>
              <w:rFonts w:ascii="Source Sans Pro" w:hAnsi="Source Sans Pro"/>
            </w:rPr>
          </w:pPr>
          <w:proofErr w:type="gramStart"/>
          <w:r>
            <w:rPr>
              <w:rFonts w:ascii="Source Sans Pro" w:hAnsi="Source Sans Pro"/>
            </w:rPr>
            <w:t xml:space="preserve">Tel:   </w:t>
          </w:r>
          <w:proofErr w:type="gramEnd"/>
          <w:r>
            <w:rPr>
              <w:rFonts w:ascii="Source Sans Pro" w:hAnsi="Source Sans Pro"/>
            </w:rPr>
            <w:t xml:space="preserve">     +420 461 002 999</w:t>
          </w:r>
        </w:p>
        <w:p w14:paraId="4E6BFFD2" w14:textId="77777777" w:rsidR="00D86B9F" w:rsidRPr="00CF6E92" w:rsidRDefault="00110F87" w:rsidP="00D86B9F">
          <w:pPr>
            <w:pStyle w:val="Zhlav"/>
            <w:ind w:right="-285"/>
            <w:rPr>
              <w:rFonts w:ascii="Source Sans Pro" w:hAnsi="Source Sans Pro"/>
            </w:rPr>
          </w:pPr>
          <w:proofErr w:type="gramStart"/>
          <w:r>
            <w:rPr>
              <w:rFonts w:ascii="Source Sans Pro" w:hAnsi="Source Sans Pro"/>
            </w:rPr>
            <w:t>E-mail:  info</w:t>
          </w:r>
          <w:r w:rsidR="00D86B9F" w:rsidRPr="001E1EC7">
            <w:rPr>
              <w:rFonts w:ascii="Source Sans Pro" w:hAnsi="Source Sans Pro"/>
            </w:rPr>
            <w:t>@edera.cz</w:t>
          </w:r>
          <w:proofErr w:type="gramEnd"/>
        </w:p>
        <w:p w14:paraId="2041FB6D" w14:textId="77777777" w:rsidR="00D86B9F" w:rsidRPr="001E1EC7" w:rsidRDefault="00D86B9F" w:rsidP="00D86B9F">
          <w:pPr>
            <w:pStyle w:val="Zhlav"/>
            <w:rPr>
              <w:rFonts w:ascii="Source Sans Pro" w:hAnsi="Source Sans Pro"/>
              <w:b/>
            </w:rPr>
          </w:pPr>
        </w:p>
      </w:tc>
    </w:tr>
  </w:tbl>
  <w:p w14:paraId="13511F9A" w14:textId="77777777" w:rsidR="00D86B9F" w:rsidRDefault="00D86B9F" w:rsidP="00D86B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2D597" w14:textId="77777777" w:rsidR="00B248C6" w:rsidRDefault="00B248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B6DD6" w14:textId="77777777" w:rsidR="00BD25EE" w:rsidRDefault="00BD25EE" w:rsidP="00FA2535">
      <w:r>
        <w:separator/>
      </w:r>
    </w:p>
  </w:footnote>
  <w:footnote w:type="continuationSeparator" w:id="0">
    <w:p w14:paraId="22E8CC18" w14:textId="77777777" w:rsidR="00BD25EE" w:rsidRDefault="00BD25EE" w:rsidP="00FA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AF7B" w14:textId="77777777" w:rsidR="00FA2535" w:rsidRDefault="00BD25EE">
    <w:pPr>
      <w:pStyle w:val="Zhlav"/>
    </w:pPr>
    <w:r>
      <w:rPr>
        <w:noProof/>
        <w:lang w:eastAsia="cs-CZ"/>
      </w:rPr>
      <w:pict w14:anchorId="1CC71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4813" o:spid="_x0000_s210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hlavickovy_papir_universal-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DCA40" w14:textId="77777777" w:rsidR="001E1EC7" w:rsidRDefault="00224FE8" w:rsidP="00071D07">
    <w:pPr>
      <w:pStyle w:val="Zhlav"/>
      <w:ind w:right="-285"/>
      <w:rPr>
        <w:rFonts w:ascii="Source Sans Pro" w:hAnsi="Source Sans Pro"/>
      </w:rPr>
    </w:pPr>
    <w:r>
      <w:rPr>
        <w:rFonts w:ascii="Source Sans Pro" w:hAnsi="Source Sans Pro"/>
        <w:noProof/>
        <w:lang w:eastAsia="cs-CZ"/>
      </w:rPr>
      <w:drawing>
        <wp:anchor distT="0" distB="0" distL="114300" distR="114300" simplePos="0" relativeHeight="251661312" behindDoc="0" locked="0" layoutInCell="1" allowOverlap="1" wp14:anchorId="1C9EDF8F" wp14:editId="15F338BC">
          <wp:simplePos x="0" y="0"/>
          <wp:positionH relativeFrom="column">
            <wp:posOffset>5107581</wp:posOffset>
          </wp:positionH>
          <wp:positionV relativeFrom="paragraph">
            <wp:posOffset>-1077374</wp:posOffset>
          </wp:positionV>
          <wp:extent cx="1541780" cy="627380"/>
          <wp:effectExtent l="0" t="0" r="1270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era-logo podpis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25EE">
      <w:rPr>
        <w:rFonts w:ascii="Source Sans Pro" w:hAnsi="Source Sans Pro"/>
        <w:noProof/>
        <w:lang w:eastAsia="cs-CZ"/>
      </w:rPr>
      <w:pict w14:anchorId="2ED438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4814" o:spid="_x0000_s2107" type="#_x0000_t75" style="position:absolute;margin-left:-41.3pt;margin-top:-156.75pt;width:595.2pt;height:841.9pt;z-index:-251656192;mso-position-horizontal-relative:margin;mso-position-vertical-relative:margin" o:allowincell="f" stroked="t" strokecolor="blue">
          <v:imagedata r:id="rId2" o:title="hlavickovy_papir_universal-03"/>
          <w10:wrap anchorx="margin" anchory="margin"/>
        </v:shape>
      </w:pict>
    </w:r>
    <w:r w:rsidR="003206E9">
      <w:rPr>
        <w:rFonts w:ascii="Source Sans Pro" w:hAnsi="Source Sans Pro"/>
      </w:rPr>
      <w:t xml:space="preserve"> </w:t>
    </w:r>
    <w:r w:rsidR="003206E9">
      <w:rPr>
        <w:rFonts w:ascii="Source Sans Pro" w:hAnsi="Source Sans Pro"/>
      </w:rPr>
      <w:tab/>
    </w:r>
    <w:r w:rsidR="003206E9">
      <w:rPr>
        <w:rFonts w:ascii="Source Sans Pro" w:hAnsi="Source Sans Pro"/>
      </w:rPr>
      <w:tab/>
    </w:r>
    <w:r w:rsidR="003206E9">
      <w:rPr>
        <w:rFonts w:ascii="Source Sans Pro" w:hAnsi="Source Sans Pro"/>
      </w:rPr>
      <w:tab/>
    </w:r>
    <w:r w:rsidR="003206E9">
      <w:rPr>
        <w:rFonts w:ascii="Source Sans Pro" w:hAnsi="Source Sans Pro"/>
      </w:rPr>
      <w:tab/>
    </w:r>
  </w:p>
  <w:p w14:paraId="3CB4A9E1" w14:textId="77777777" w:rsidR="003206E9" w:rsidRPr="00071D07" w:rsidRDefault="003206E9" w:rsidP="00071D07">
    <w:pPr>
      <w:pStyle w:val="Zhlav"/>
      <w:ind w:right="-285"/>
      <w:rPr>
        <w:rFonts w:ascii="Source Sans Pro" w:hAnsi="Source Sans 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60A2" w14:textId="77777777" w:rsidR="00FA2535" w:rsidRDefault="00BD25EE">
    <w:pPr>
      <w:pStyle w:val="Zhlav"/>
    </w:pPr>
    <w:r>
      <w:rPr>
        <w:noProof/>
        <w:lang w:eastAsia="cs-CZ"/>
      </w:rPr>
      <w:pict w14:anchorId="1E7DB7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04812" o:spid="_x0000_s210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hlavickovy_papir_universal-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7616FC4"/>
    <w:multiLevelType w:val="hybridMultilevel"/>
    <w:tmpl w:val="2A020F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02A9"/>
    <w:multiLevelType w:val="hybridMultilevel"/>
    <w:tmpl w:val="9A5EA53C"/>
    <w:lvl w:ilvl="0" w:tplc="1584E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44B98"/>
    <w:multiLevelType w:val="hybridMultilevel"/>
    <w:tmpl w:val="8E7217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92A2F"/>
    <w:multiLevelType w:val="hybridMultilevel"/>
    <w:tmpl w:val="1ED4370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35"/>
    <w:rsid w:val="0001031F"/>
    <w:rsid w:val="00014B1C"/>
    <w:rsid w:val="0004570A"/>
    <w:rsid w:val="000647FA"/>
    <w:rsid w:val="00065E0D"/>
    <w:rsid w:val="00071D07"/>
    <w:rsid w:val="000914DC"/>
    <w:rsid w:val="000D23CD"/>
    <w:rsid w:val="00110F87"/>
    <w:rsid w:val="001709D4"/>
    <w:rsid w:val="001820EA"/>
    <w:rsid w:val="00190188"/>
    <w:rsid w:val="001A5875"/>
    <w:rsid w:val="001A7DB7"/>
    <w:rsid w:val="001C0489"/>
    <w:rsid w:val="001C5A68"/>
    <w:rsid w:val="001D798F"/>
    <w:rsid w:val="001E13B9"/>
    <w:rsid w:val="001E1EC7"/>
    <w:rsid w:val="00212644"/>
    <w:rsid w:val="00224FE8"/>
    <w:rsid w:val="00225176"/>
    <w:rsid w:val="00266985"/>
    <w:rsid w:val="00272372"/>
    <w:rsid w:val="0028190C"/>
    <w:rsid w:val="00291EE4"/>
    <w:rsid w:val="002C6936"/>
    <w:rsid w:val="002D609B"/>
    <w:rsid w:val="002F4229"/>
    <w:rsid w:val="00302961"/>
    <w:rsid w:val="003066E0"/>
    <w:rsid w:val="003206E9"/>
    <w:rsid w:val="00322C72"/>
    <w:rsid w:val="00330195"/>
    <w:rsid w:val="00334C9F"/>
    <w:rsid w:val="0034090A"/>
    <w:rsid w:val="003A028E"/>
    <w:rsid w:val="003A3349"/>
    <w:rsid w:val="003A5004"/>
    <w:rsid w:val="003A5B82"/>
    <w:rsid w:val="003B3202"/>
    <w:rsid w:val="00412537"/>
    <w:rsid w:val="0042716A"/>
    <w:rsid w:val="004324BC"/>
    <w:rsid w:val="00440EE8"/>
    <w:rsid w:val="00444D1C"/>
    <w:rsid w:val="00453876"/>
    <w:rsid w:val="00455EC2"/>
    <w:rsid w:val="004A595E"/>
    <w:rsid w:val="004A7D4B"/>
    <w:rsid w:val="004C0B20"/>
    <w:rsid w:val="004C6937"/>
    <w:rsid w:val="004F3258"/>
    <w:rsid w:val="005057FB"/>
    <w:rsid w:val="00511BE7"/>
    <w:rsid w:val="00511CAD"/>
    <w:rsid w:val="005136A6"/>
    <w:rsid w:val="0054125B"/>
    <w:rsid w:val="0055487F"/>
    <w:rsid w:val="005826A4"/>
    <w:rsid w:val="00585558"/>
    <w:rsid w:val="005979B4"/>
    <w:rsid w:val="005C00C9"/>
    <w:rsid w:val="005C3186"/>
    <w:rsid w:val="005E579F"/>
    <w:rsid w:val="005F162E"/>
    <w:rsid w:val="005F7999"/>
    <w:rsid w:val="00602035"/>
    <w:rsid w:val="0060601A"/>
    <w:rsid w:val="00611CAE"/>
    <w:rsid w:val="00635357"/>
    <w:rsid w:val="00653624"/>
    <w:rsid w:val="006865B9"/>
    <w:rsid w:val="006948EA"/>
    <w:rsid w:val="006E2D86"/>
    <w:rsid w:val="006E664A"/>
    <w:rsid w:val="0071438B"/>
    <w:rsid w:val="00715961"/>
    <w:rsid w:val="007213A2"/>
    <w:rsid w:val="007525D6"/>
    <w:rsid w:val="00784CF3"/>
    <w:rsid w:val="007D109C"/>
    <w:rsid w:val="00806EE0"/>
    <w:rsid w:val="00855FAF"/>
    <w:rsid w:val="0086267A"/>
    <w:rsid w:val="008A6D2B"/>
    <w:rsid w:val="008C112E"/>
    <w:rsid w:val="008C1617"/>
    <w:rsid w:val="008D0535"/>
    <w:rsid w:val="00900599"/>
    <w:rsid w:val="0094377D"/>
    <w:rsid w:val="00946F90"/>
    <w:rsid w:val="00947389"/>
    <w:rsid w:val="009477D1"/>
    <w:rsid w:val="009817C3"/>
    <w:rsid w:val="009A0FBC"/>
    <w:rsid w:val="009B5D01"/>
    <w:rsid w:val="009D08D3"/>
    <w:rsid w:val="00A24973"/>
    <w:rsid w:val="00A32FF5"/>
    <w:rsid w:val="00A347CF"/>
    <w:rsid w:val="00AD0D0A"/>
    <w:rsid w:val="00AF392F"/>
    <w:rsid w:val="00B04938"/>
    <w:rsid w:val="00B248C6"/>
    <w:rsid w:val="00B338EB"/>
    <w:rsid w:val="00B544A0"/>
    <w:rsid w:val="00B65B50"/>
    <w:rsid w:val="00B712FE"/>
    <w:rsid w:val="00BA117B"/>
    <w:rsid w:val="00BA1B4A"/>
    <w:rsid w:val="00BC3565"/>
    <w:rsid w:val="00BD23C0"/>
    <w:rsid w:val="00BD25EE"/>
    <w:rsid w:val="00BD5274"/>
    <w:rsid w:val="00C13C67"/>
    <w:rsid w:val="00C21298"/>
    <w:rsid w:val="00C32ED6"/>
    <w:rsid w:val="00C41898"/>
    <w:rsid w:val="00C44789"/>
    <w:rsid w:val="00C7560B"/>
    <w:rsid w:val="00C76819"/>
    <w:rsid w:val="00C80B0F"/>
    <w:rsid w:val="00C8619B"/>
    <w:rsid w:val="00C93390"/>
    <w:rsid w:val="00C95DAA"/>
    <w:rsid w:val="00CB1590"/>
    <w:rsid w:val="00CC1F06"/>
    <w:rsid w:val="00CF4A22"/>
    <w:rsid w:val="00CF6E92"/>
    <w:rsid w:val="00D07EEE"/>
    <w:rsid w:val="00D626D1"/>
    <w:rsid w:val="00D70193"/>
    <w:rsid w:val="00D7222A"/>
    <w:rsid w:val="00D74B6C"/>
    <w:rsid w:val="00D86B9F"/>
    <w:rsid w:val="00DA1DBA"/>
    <w:rsid w:val="00DB1B0B"/>
    <w:rsid w:val="00DC2C0B"/>
    <w:rsid w:val="00DD23D9"/>
    <w:rsid w:val="00DE30DC"/>
    <w:rsid w:val="00DE5A0B"/>
    <w:rsid w:val="00E02CEA"/>
    <w:rsid w:val="00E22C07"/>
    <w:rsid w:val="00E273DF"/>
    <w:rsid w:val="00E4027F"/>
    <w:rsid w:val="00E64CEE"/>
    <w:rsid w:val="00E96E5D"/>
    <w:rsid w:val="00EA190C"/>
    <w:rsid w:val="00ED2619"/>
    <w:rsid w:val="00F45491"/>
    <w:rsid w:val="00F4723D"/>
    <w:rsid w:val="00F81DDA"/>
    <w:rsid w:val="00FA2535"/>
    <w:rsid w:val="00FB333F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8"/>
    <o:shapelayout v:ext="edit">
      <o:idmap v:ext="edit" data="1"/>
    </o:shapelayout>
  </w:shapeDefaults>
  <w:decimalSymbol w:val=","/>
  <w:listSeparator w:val=";"/>
  <w14:docId w14:val="5FE0E3AF"/>
  <w15:docId w15:val="{4ADFD1A9-B195-4464-8F45-0F828E1FF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FF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BC3565"/>
    <w:pPr>
      <w:keepNext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B5D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2535"/>
  </w:style>
  <w:style w:type="paragraph" w:styleId="Zpat">
    <w:name w:val="footer"/>
    <w:basedOn w:val="Normln"/>
    <w:link w:val="ZpatChar"/>
    <w:uiPriority w:val="99"/>
    <w:unhideWhenUsed/>
    <w:rsid w:val="00FA2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2535"/>
  </w:style>
  <w:style w:type="character" w:styleId="Hypertextovodkaz">
    <w:name w:val="Hyperlink"/>
    <w:basedOn w:val="Standardnpsmoodstavce"/>
    <w:uiPriority w:val="99"/>
    <w:unhideWhenUsed/>
    <w:rsid w:val="001E1EC7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EA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07EEE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7EEE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1D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D07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F81DDA"/>
    <w:rPr>
      <w:rFonts w:ascii="FuturTEE" w:hAnsi="FuturTEE"/>
      <w:sz w:val="24"/>
    </w:rPr>
  </w:style>
  <w:style w:type="paragraph" w:styleId="Bezmezer">
    <w:name w:val="No Spacing"/>
    <w:link w:val="BezmezerChar"/>
    <w:uiPriority w:val="1"/>
    <w:qFormat/>
    <w:rsid w:val="00F81DDA"/>
    <w:pPr>
      <w:spacing w:after="0" w:line="240" w:lineRule="auto"/>
      <w:jc w:val="both"/>
    </w:pPr>
    <w:rPr>
      <w:rFonts w:ascii="FuturTEE" w:hAnsi="FuturTEE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47389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9"/>
    <w:rsid w:val="00BC3565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platne">
    <w:name w:val="platne"/>
    <w:basedOn w:val="Standardnpsmoodstavce"/>
    <w:uiPriority w:val="99"/>
    <w:rsid w:val="00BC3565"/>
  </w:style>
  <w:style w:type="paragraph" w:styleId="Prosttext">
    <w:name w:val="Plain Text"/>
    <w:basedOn w:val="Normln"/>
    <w:link w:val="ProsttextChar"/>
    <w:unhideWhenUsed/>
    <w:rsid w:val="00BC3565"/>
    <w:pPr>
      <w:suppressAutoHyphens w:val="0"/>
    </w:pPr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rsid w:val="00BC3565"/>
    <w:rPr>
      <w:rFonts w:ascii="Consolas" w:eastAsia="Calibri" w:hAnsi="Consolas" w:cs="Times New Roman"/>
      <w:sz w:val="21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B5D0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styleId="Odkaznakoment">
    <w:name w:val="annotation reference"/>
    <w:basedOn w:val="Standardnpsmoodstavce"/>
    <w:uiPriority w:val="99"/>
    <w:unhideWhenUsed/>
    <w:rsid w:val="00C933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93390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933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2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e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22B7-544B-440A-A24A-DE49A88D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1482</Words>
  <Characters>8748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Strejček</dc:creator>
  <cp:keywords/>
  <dc:description/>
  <cp:lastModifiedBy>Hana Klímová</cp:lastModifiedBy>
  <cp:revision>13</cp:revision>
  <cp:lastPrinted>2018-06-28T07:58:00Z</cp:lastPrinted>
  <dcterms:created xsi:type="dcterms:W3CDTF">2020-12-17T08:47:00Z</dcterms:created>
  <dcterms:modified xsi:type="dcterms:W3CDTF">2021-03-22T06:23:00Z</dcterms:modified>
</cp:coreProperties>
</file>